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9A0B">
      <w:pPr>
        <w:rPr>
          <w:rFonts w:hint="default" w:ascii="Times New Roman" w:hAnsi="Times New Roman" w:cs="Times New Roman"/>
          <w:sz w:val="21"/>
          <w:szCs w:val="21"/>
        </w:rPr>
      </w:pPr>
    </w:p>
    <w:p w14:paraId="538D7DB5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GAG Cap，100mM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Sodium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Salt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产品说明书</w:t>
      </w:r>
    </w:p>
    <w:p w14:paraId="2B379E25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1760"/>
        <w:gridCol w:w="1736"/>
      </w:tblGrid>
      <w:tr w14:paraId="6F80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tcBorders>
              <w:left w:val="nil"/>
              <w:bottom w:val="single" w:color="auto" w:sz="4" w:space="0"/>
              <w:right w:val="nil"/>
            </w:tcBorders>
          </w:tcPr>
          <w:p w14:paraId="1E936A9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60" w:type="dxa"/>
            <w:tcBorders>
              <w:left w:val="nil"/>
              <w:bottom w:val="single" w:color="auto" w:sz="4" w:space="0"/>
              <w:right w:val="nil"/>
            </w:tcBorders>
          </w:tcPr>
          <w:p w14:paraId="7FC0B3D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Cat#</w:t>
            </w:r>
          </w:p>
        </w:tc>
        <w:tc>
          <w:tcPr>
            <w:tcW w:w="1736" w:type="dxa"/>
            <w:tcBorders>
              <w:left w:val="nil"/>
              <w:bottom w:val="single" w:color="auto" w:sz="4" w:space="0"/>
              <w:right w:val="nil"/>
            </w:tcBorders>
          </w:tcPr>
          <w:p w14:paraId="39A80EE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</w:tr>
      <w:tr w14:paraId="4BA0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31DB918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GAG Cap，100mM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Sodium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Salt </w:t>
            </w:r>
          </w:p>
          <w:p w14:paraId="5517302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5C9B1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79886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</w:tr>
      <w:tr w14:paraId="69FF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0845534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DBEB77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13EBF6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</w:tr>
      <w:tr w14:paraId="29FE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627478D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F7245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0DCE311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</w:tr>
      <w:tr w14:paraId="4C3B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175F6CA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</w:tcPr>
          <w:p w14:paraId="2BF6D6D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  <w:shd w:val="clear"/>
            <w:vAlign w:val="top"/>
          </w:tcPr>
          <w:p w14:paraId="00E4619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</w:tr>
    </w:tbl>
    <w:p w14:paraId="3F9C00E6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F01156E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产品描述</w:t>
      </w:r>
    </w:p>
    <w:p w14:paraId="405C99E0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GAG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Cap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是一种具有m7G(5′)ppp(5′)(2′omea) pG结构的帽类似物。该产物用于5'AG3'初始序列的转录，通过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Cap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转录帽产生天然的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Cap1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结构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产生的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Cap1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结构使mRNA具有更高的体内活性和翻译效率。</w:t>
      </w:r>
    </w:p>
    <w:p w14:paraId="2A1E6583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本品为透明无色水溶液，经测试不含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核酸酶切酶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核酸外切酶、RNase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污染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，并通过体外转录功能测试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0BBA3238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A4A455C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产品属性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 w14:paraId="24BE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FC40EA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分子式</w:t>
            </w:r>
          </w:p>
        </w:tc>
        <w:tc>
          <w:tcPr>
            <w:tcW w:w="4261" w:type="dxa"/>
          </w:tcPr>
          <w:p w14:paraId="79AD4F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(free acid)</w:t>
            </w:r>
          </w:p>
        </w:tc>
      </w:tr>
      <w:tr w14:paraId="0D08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9FBBF5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分子量</w:t>
            </w:r>
          </w:p>
        </w:tc>
        <w:tc>
          <w:tcPr>
            <w:tcW w:w="4261" w:type="dxa"/>
          </w:tcPr>
          <w:p w14:paraId="12CF26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1145.66 g/mol</w:t>
            </w:r>
          </w:p>
        </w:tc>
      </w:tr>
      <w:tr w14:paraId="7810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4663D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纯度</w:t>
            </w:r>
          </w:p>
        </w:tc>
        <w:tc>
          <w:tcPr>
            <w:tcW w:w="4261" w:type="dxa"/>
          </w:tcPr>
          <w:p w14:paraId="694E44A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≥ 9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</w:tr>
      <w:tr w14:paraId="2820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C28A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浓度</w:t>
            </w:r>
          </w:p>
        </w:tc>
        <w:tc>
          <w:tcPr>
            <w:tcW w:w="4261" w:type="dxa"/>
          </w:tcPr>
          <w:p w14:paraId="6B30573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100 ± 5mM</w:t>
            </w:r>
          </w:p>
        </w:tc>
      </w:tr>
      <w:tr w14:paraId="5822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D5A95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结构式</w:t>
            </w:r>
          </w:p>
        </w:tc>
        <w:tc>
          <w:tcPr>
            <w:tcW w:w="4261" w:type="dxa"/>
          </w:tcPr>
          <w:p w14:paraId="33A749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355090"/>
                  <wp:effectExtent l="0" t="0" r="10795" b="3810"/>
                  <wp:docPr id="4" name="图片 4" descr="GAG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GAG n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BC8F9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70BF853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运输和储存</w:t>
      </w:r>
    </w:p>
    <w:p w14:paraId="27769C4A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本产品随干冰运输，可在-15℃~ -25℃保存两年。</w:t>
      </w:r>
    </w:p>
    <w:p w14:paraId="5075B2CE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E0278CA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注意事项</w:t>
      </w:r>
    </w:p>
    <w:p w14:paraId="7AE84611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可以室温溶解，溶解后宜存放于冰盒内或冰浴上，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使用过程</w:t>
      </w:r>
      <w:r>
        <w:rPr>
          <w:rFonts w:hint="default" w:ascii="Times New Roman" w:hAnsi="Times New Roman" w:eastAsia="宋体" w:cs="Times New Roman"/>
          <w:sz w:val="21"/>
          <w:szCs w:val="21"/>
        </w:rPr>
        <w:t>小心防止RNase污染降解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使用完毕后宜立即置于-20ºC保存。  </w:t>
      </w:r>
    </w:p>
    <w:p w14:paraId="3748E650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本产品仅限于科学研究用，不得用于临床诊断或治疗，不得用于食品或药品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 </w:t>
      </w:r>
    </w:p>
    <w:p w14:paraId="2514ABB1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为了您的安全和健康，请穿实验服并戴一次性手套操作。</w:t>
      </w:r>
    </w:p>
    <w:p w14:paraId="4788CA2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D387597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常见问题与解决方案</w:t>
      </w:r>
    </w:p>
    <w:p w14:paraId="31038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Q1：</w:t>
      </w:r>
      <w:r>
        <w:rPr>
          <w:rFonts w:hint="default" w:ascii="Times New Roman" w:hAnsi="Times New Roman" w:eastAsia="宋体" w:cs="Times New Roman"/>
          <w:sz w:val="21"/>
          <w:szCs w:val="21"/>
        </w:rPr>
        <w:t>帽类似物加帽和酶法加帽如何选择？</w:t>
      </w:r>
    </w:p>
    <w:p w14:paraId="47EAB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A1：</w:t>
      </w:r>
      <w:r>
        <w:rPr>
          <w:rFonts w:hint="default" w:ascii="Times New Roman" w:hAnsi="Times New Roman" w:eastAsia="宋体" w:cs="Times New Roman"/>
          <w:sz w:val="21"/>
          <w:szCs w:val="21"/>
        </w:rPr>
        <w:t>工业上酶法加帽最常使用的是牛痘病毒加帽酶处理IVT产物可以将其修饰成Cap 0 mRNA，Cap 0结构可以在二氧甲基转移酶（2'O-methyltransferase）的作用下进一步修饰成Cap 1（m7GpppmN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。利用酶法加帽，加帽效率可以达到95%以上。共转录加帽法操作简便，但由于GTP会竞争帽状二聚体，因此该方法加帽率低一些；两种方式各有优缺点。</w:t>
      </w:r>
    </w:p>
    <w:p w14:paraId="5438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106C6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Q2：</w:t>
      </w:r>
      <w:r>
        <w:rPr>
          <w:rFonts w:hint="default" w:ascii="Times New Roman" w:hAnsi="Times New Roman" w:eastAsia="宋体" w:cs="Times New Roman"/>
          <w:sz w:val="21"/>
          <w:szCs w:val="21"/>
        </w:rPr>
        <w:t> 对于一些没有加上帽子的mRNA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在体系内，会不会影响后续合成的mRNA？</w:t>
      </w:r>
    </w:p>
    <w:p w14:paraId="3B78F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A2：</w:t>
      </w:r>
      <w:r>
        <w:rPr>
          <w:rFonts w:hint="default" w:ascii="Times New Roman" w:hAnsi="Times New Roman" w:eastAsia="宋体" w:cs="Times New Roman"/>
          <w:sz w:val="21"/>
          <w:szCs w:val="21"/>
        </w:rPr>
        <w:t>目前行业对这一块的没有做针对性的去除，主要是看加帽效率的多少，对于合成之后的mRNA，可以用纯化的方式处理，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例如：</w:t>
      </w:r>
      <w:r>
        <w:rPr>
          <w:rFonts w:hint="default" w:ascii="Times New Roman" w:hAnsi="Times New Roman" w:eastAsia="宋体" w:cs="Times New Roman"/>
          <w:sz w:val="21"/>
          <w:szCs w:val="21"/>
        </w:rPr>
        <w:t>纯化工艺，传统用Oligo dT的柱子做纯化，效果好可以回收率70-80%；也可以多加一步疏水柱在oligo dT后。</w:t>
      </w:r>
    </w:p>
    <w:p w14:paraId="3BBCC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3EA79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Q3：</w:t>
      </w:r>
      <w:r>
        <w:rPr>
          <w:rFonts w:hint="default" w:ascii="Times New Roman" w:hAnsi="Times New Roman" w:eastAsia="宋体" w:cs="Times New Roman"/>
          <w:sz w:val="21"/>
          <w:szCs w:val="21"/>
        </w:rPr>
        <w:t>对于共转录体系中Clean-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ap涉及到的专利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是怎么解决呢？</w:t>
      </w:r>
    </w:p>
    <w:p w14:paraId="5658D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A3：</w:t>
      </w:r>
      <w:r>
        <w:rPr>
          <w:rFonts w:hint="default" w:ascii="Times New Roman" w:hAnsi="Times New Roman" w:eastAsia="宋体" w:cs="Times New Roman"/>
          <w:sz w:val="21"/>
          <w:szCs w:val="21"/>
        </w:rPr>
        <w:t>目前我们可以提供帽子类似物，据我们了解，现在Trilink在国内专利还没有授权，在国内可以放心使用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目前我们也在积极寻找合作机会。</w:t>
      </w:r>
    </w:p>
    <w:p w14:paraId="1A512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4C59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Q4：</w:t>
      </w:r>
      <w:r>
        <w:rPr>
          <w:rFonts w:hint="default" w:ascii="Times New Roman" w:hAnsi="Times New Roman" w:eastAsia="宋体" w:cs="Times New Roman"/>
          <w:sz w:val="21"/>
          <w:szCs w:val="21"/>
        </w:rPr>
        <w:t>检测时出现帽子类似物挑酶的情况，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珲信的帽类似物</w:t>
      </w:r>
      <w:r>
        <w:rPr>
          <w:rFonts w:hint="default" w:ascii="Times New Roman" w:hAnsi="Times New Roman" w:eastAsia="宋体" w:cs="Times New Roman"/>
          <w:sz w:val="21"/>
          <w:szCs w:val="21"/>
        </w:rPr>
        <w:t>搭配其他厂家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酶</w:t>
      </w:r>
      <w:r>
        <w:rPr>
          <w:rFonts w:hint="default" w:ascii="Times New Roman" w:hAnsi="Times New Roman" w:eastAsia="宋体" w:cs="Times New Roman"/>
          <w:sz w:val="21"/>
          <w:szCs w:val="21"/>
        </w:rPr>
        <w:t>没有产量是什么原因呢？</w:t>
      </w:r>
    </w:p>
    <w:p w14:paraId="6826D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A4：</w:t>
      </w:r>
      <w:r>
        <w:rPr>
          <w:rFonts w:hint="default" w:ascii="Times New Roman" w:hAnsi="Times New Roman" w:eastAsia="宋体" w:cs="Times New Roman"/>
          <w:sz w:val="21"/>
          <w:szCs w:val="21"/>
        </w:rPr>
        <w:t> 各家的酶比活差不多但酶活差异较大，例如某公司50U的相当于200-250U的酶，所以在体系不匹配的情况，酶量加少了，帽子就加不上去。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建议根据不同的应用场景选择不同的帽子类型和酶量的调整。</w:t>
      </w:r>
    </w:p>
    <w:p w14:paraId="3A960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针对于Trilink的体系介绍：</w:t>
      </w:r>
      <w:r>
        <w:rPr>
          <w:rFonts w:hint="eastAsia" w:ascii="Times New Roman" w:hAnsi="Times New Roman" w:eastAsia="宋体" w:cs="Times New Roman"/>
          <w:sz w:val="21"/>
          <w:szCs w:val="21"/>
        </w:rPr>
        <w:t> </w:t>
      </w:r>
      <w:r>
        <w:rPr>
          <w:rFonts w:hint="default" w:ascii="Times New Roman" w:hAnsi="Times New Roman" w:eastAsia="宋体" w:cs="Times New Roman"/>
          <w:sz w:val="21"/>
          <w:szCs w:val="21"/>
        </w:rPr>
        <w:t>CleanCap：NTP=4：5，产量较低，原因就是NTP加少了，在酶法加帽的IVT体系中，NTP的量10mM，所以在共转录加帽体系中建议按照等比例（1：1或5：4）10mM or 8mM。 在要保证加帽率的前提下，酶用量会提升且工艺操作更加复杂。我们是Claen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ap的帽子，它的加帽率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1"/>
          <w:szCs w:val="21"/>
        </w:rPr>
        <w:t>会受到T7</w:t>
      </w:r>
      <w:r>
        <w:rPr>
          <w:rFonts w:hint="eastAsia" w:ascii="Times New Roman" w:hAnsi="Times New Roman" w:eastAsia="宋体" w:cs="Times New Roman"/>
          <w:sz w:val="21"/>
          <w:szCs w:val="21"/>
        </w:rPr>
        <w:t> </w:t>
      </w:r>
      <w:r>
        <w:rPr>
          <w:rFonts w:hint="default" w:ascii="Times New Roman" w:hAnsi="Times New Roman" w:eastAsia="宋体" w:cs="Times New Roman"/>
          <w:sz w:val="21"/>
          <w:szCs w:val="21"/>
        </w:rPr>
        <w:t>RNA酶的碱基偏好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性的影响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 w14:paraId="0A024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25D82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Helvetica Neue宋体" w:hAnsi="Helvetica Neue宋体" w:eastAsia="Helvetica Neue宋体" w:cs="Helvetica Neue宋体"/>
          <w:b/>
          <w:bCs/>
          <w:i w:val="0"/>
          <w:iCs w:val="0"/>
          <w:caps w:val="0"/>
          <w:color w:val="F79646"/>
          <w:spacing w:val="3"/>
          <w:sz w:val="22"/>
          <w:szCs w:val="22"/>
          <w:shd w:val="clear" w:fill="FFFFFF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82EB">
    <w:pPr>
      <w:pStyle w:val="3"/>
      <w:rPr>
        <w:rFonts w:hint="eastAsia" w:ascii="仿宋_GB2312" w:eastAsia="仿宋_GB2312" w:cs="仿宋_GB2312"/>
        <w:sz w:val="21"/>
        <w:szCs w:val="21"/>
        <w:lang w:eastAsia="zh-CN"/>
      </w:rPr>
    </w:pPr>
    <w:r>
      <w:rPr>
        <w:rFonts w:ascii="仿宋_GB2312" w:eastAsia="仿宋_GB2312" w:cs="仿宋_GB2312"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134620</wp:posOffset>
          </wp:positionH>
          <wp:positionV relativeFrom="paragraph">
            <wp:posOffset>635</wp:posOffset>
          </wp:positionV>
          <wp:extent cx="1091565" cy="370840"/>
          <wp:effectExtent l="0" t="0" r="635" b="10160"/>
          <wp:wrapTight wrapText="bothSides">
            <wp:wrapPolygon>
              <wp:start x="0" y="0"/>
              <wp:lineTo x="0" y="20712"/>
              <wp:lineTo x="21361" y="20712"/>
              <wp:lineTo x="21361" y="0"/>
              <wp:lineTo x="0" y="0"/>
            </wp:wrapPolygon>
          </wp:wrapTight>
          <wp:docPr id="3" name="图片 1" descr="公司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56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</w:t>
    </w:r>
    <w:r>
      <w:rPr>
        <w:rFonts w:hint="eastAsia" w:ascii="仿宋_GB2312" w:eastAsia="仿宋_GB2312" w:cs="仿宋_GB2312"/>
        <w:sz w:val="28"/>
        <w:szCs w:val="28"/>
        <w:lang w:eastAsia="zh-CN"/>
      </w:rPr>
      <w:t xml:space="preserve"> </w:t>
    </w:r>
    <w:r>
      <w:rPr>
        <w:rFonts w:hint="eastAsia" w:ascii="仿宋_GB2312" w:hAnsi="Times New Roman" w:eastAsia="仿宋_GB2312" w:cs="仿宋_GB2312"/>
        <w:sz w:val="21"/>
        <w:szCs w:val="21"/>
        <w:lang w:eastAsia="zh-CN"/>
      </w:rPr>
      <w:t>杭州珲</w:t>
    </w:r>
    <w:r>
      <w:rPr>
        <w:rFonts w:hint="eastAsia" w:ascii="仿宋_GB2312" w:eastAsia="仿宋_GB2312" w:cs="仿宋_GB2312"/>
        <w:sz w:val="21"/>
        <w:szCs w:val="21"/>
        <w:lang w:eastAsia="zh-CN"/>
      </w:rPr>
      <w:t>信生物科技有限</w:t>
    </w:r>
  </w:p>
  <w:p w14:paraId="00357DF7">
    <w:pPr>
      <w:pStyle w:val="3"/>
      <w:ind w:firstLine="3990" w:firstLineChars="1900"/>
      <w:rPr>
        <w:rFonts w:hint="default"/>
        <w:lang w:val="en-US"/>
      </w:rPr>
    </w:pPr>
    <w:r>
      <w:rPr>
        <w:rFonts w:ascii="Times New Roman" w:hAnsi="Times New Roman" w:eastAsia="仿宋_GB2312" w:cs="Times New Roman"/>
        <w:sz w:val="21"/>
        <w:szCs w:val="21"/>
        <w:lang w:eastAsia="zh-CN"/>
      </w:rPr>
      <w:t xml:space="preserve">Hangzhou Perfect mRNA Biotechnology Co., 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8F5C4"/>
    <w:multiLevelType w:val="singleLevel"/>
    <w:tmpl w:val="9F38F5C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ODRlZmI4ZGNmYTQ3MjkxZTE3MzIyN2YzOGM0NjUifQ=="/>
  </w:docVars>
  <w:rsids>
    <w:rsidRoot w:val="00000000"/>
    <w:rsid w:val="092E279E"/>
    <w:rsid w:val="09412D13"/>
    <w:rsid w:val="128F4AEF"/>
    <w:rsid w:val="19406B43"/>
    <w:rsid w:val="1E2B2A05"/>
    <w:rsid w:val="2023100C"/>
    <w:rsid w:val="3C112513"/>
    <w:rsid w:val="43483251"/>
    <w:rsid w:val="45D314F2"/>
    <w:rsid w:val="46965745"/>
    <w:rsid w:val="46DB30A2"/>
    <w:rsid w:val="4A2A68D0"/>
    <w:rsid w:val="4BB275BC"/>
    <w:rsid w:val="576121EF"/>
    <w:rsid w:val="6703252B"/>
    <w:rsid w:val="72DB435C"/>
    <w:rsid w:val="75B91E9A"/>
    <w:rsid w:val="776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1282</Characters>
  <Lines>0</Lines>
  <Paragraphs>0</Paragraphs>
  <TotalTime>1</TotalTime>
  <ScaleCrop>false</ScaleCrop>
  <LinksUpToDate>false</LinksUpToDate>
  <CharactersWithSpaces>1315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2023-07-12T01:06:00Z</dcterms:created>
  <dc:creator>admin</dc:creator>
  <cp:lastModifiedBy>凯文</cp:lastModifiedBy>
  <dcterms:modified xsi:type="dcterms:W3CDTF">2025-03-06T13:18:00Z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E1FD762A28184EC48A3AD82F7F438D3B_13</vt:lpwstr>
  </property>
  <property fmtid="{D5CDD505-2E9C-101B-9397-08002B2CF9AE}" pid="4" name="KSOTemplateDocerSaveRecord">
    <vt:lpwstr>eyJoZGlkIjoiMGRiNDM1N2U1MjIyNTc3MThmYjgzYzE0OWU1NGUxYjYiLCJ1c2VySWQiOiIzNDMyNzc1NzAifQ==</vt:lpwstr>
  </property>
</Properties>
</file>