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2B9D6">
      <w:pPr>
        <w:rPr>
          <w:rFonts w:hint="default" w:ascii="Times New Roman" w:hAnsi="Times New Roman" w:cs="Times New Roman"/>
          <w:sz w:val="21"/>
          <w:szCs w:val="21"/>
        </w:rPr>
      </w:pPr>
    </w:p>
    <w:p w14:paraId="5EAE3706">
      <w:pPr>
        <w:jc w:val="center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G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TP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 xml:space="preserve">100mM 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Sodium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 xml:space="preserve"> Sal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t产品说明书</w:t>
      </w:r>
    </w:p>
    <w:p w14:paraId="4302CC35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74E2B60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3C68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200D22B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3BBE07C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133579A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5383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8FCC83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TP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 xml:space="preserve">，100mM 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Sodium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 xml:space="preserve"> Salt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49032B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EC00C7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</w:t>
            </w:r>
          </w:p>
        </w:tc>
      </w:tr>
      <w:tr w14:paraId="42F5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1A5BC38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4E49BD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16DDD56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</w:t>
            </w:r>
          </w:p>
        </w:tc>
      </w:tr>
      <w:tr w14:paraId="2795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57AED46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F4C766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3DAF566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L</w:t>
            </w:r>
          </w:p>
        </w:tc>
      </w:tr>
      <w:tr w14:paraId="5772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6BBAE2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1AFFEE9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N10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</w:tcPr>
          <w:p w14:paraId="7B2C686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mL</w:t>
            </w:r>
          </w:p>
        </w:tc>
      </w:tr>
    </w:tbl>
    <w:p w14:paraId="6A3EB70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CE41581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56685EC8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三磷酸鸟苷(GTP)可用于多种分子生物学应用，如体外转录、RNA扩增、siRNA合成等。此外，GTP作为磷酸盐或焦磷酸盐信使在信号转导中发挥重要作用:GTP可激活G蛋白，引起多种蛋白激酶介导的级联反应，引起多种细胞学行为，如细胞增殖、分化等。GTP还可作为单核苷酸的高能前体，参与DNase和RNase的合成。</w:t>
      </w:r>
    </w:p>
    <w:p w14:paraId="4946E54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4CDBB05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本品为透明无色水溶液，经测试不含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核酸酶切酶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核酸外切酶、RNase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污染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，并通过体外转录功能测试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。</w:t>
      </w:r>
    </w:p>
    <w:p w14:paraId="1E82612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722F589D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1D9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489345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CAS号</w:t>
            </w:r>
          </w:p>
        </w:tc>
        <w:tc>
          <w:tcPr>
            <w:tcW w:w="4261" w:type="dxa"/>
          </w:tcPr>
          <w:p w14:paraId="0D3AFFE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instrText xml:space="preserve"> HYPERLINK "https://www.chemsrc.com/baike/603370.html" \t "https://www.chemsrc.com/cas/_blank" </w:instrTex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18423-40-0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fldChar w:fldCharType="end"/>
            </w:r>
          </w:p>
        </w:tc>
      </w:tr>
      <w:tr w14:paraId="43E5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03181C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分子式</w:t>
            </w:r>
          </w:p>
        </w:tc>
        <w:tc>
          <w:tcPr>
            <w:tcW w:w="4261" w:type="dxa"/>
          </w:tcPr>
          <w:p w14:paraId="5C6AC08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C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H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</w:rPr>
              <w:t>13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N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Na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O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vertAlign w:val="subscript"/>
              </w:rPr>
              <w:t>3</w:t>
            </w:r>
          </w:p>
        </w:tc>
      </w:tr>
      <w:tr w14:paraId="13BE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A6CB7C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分子量</w:t>
            </w:r>
          </w:p>
        </w:tc>
        <w:tc>
          <w:tcPr>
            <w:tcW w:w="4261" w:type="dxa"/>
          </w:tcPr>
          <w:p w14:paraId="2DF20B0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573.13g/mol</w:t>
            </w:r>
          </w:p>
        </w:tc>
      </w:tr>
      <w:tr w14:paraId="30FC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EAA319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纯度</w:t>
            </w:r>
          </w:p>
        </w:tc>
        <w:tc>
          <w:tcPr>
            <w:tcW w:w="4261" w:type="dxa"/>
          </w:tcPr>
          <w:p w14:paraId="4CECEFC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≥ 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%</w:t>
            </w:r>
          </w:p>
        </w:tc>
      </w:tr>
      <w:tr w14:paraId="79D0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2B038B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  <w:t>浓度</w:t>
            </w:r>
          </w:p>
        </w:tc>
        <w:tc>
          <w:tcPr>
            <w:tcW w:w="4261" w:type="dxa"/>
          </w:tcPr>
          <w:p w14:paraId="2FFDEA4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100 ± 5mM</w:t>
            </w:r>
          </w:p>
        </w:tc>
      </w:tr>
      <w:tr w14:paraId="015C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6013AF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结构式</w:t>
            </w:r>
          </w:p>
        </w:tc>
        <w:tc>
          <w:tcPr>
            <w:tcW w:w="4261" w:type="dxa"/>
          </w:tcPr>
          <w:p w14:paraId="7CFCE5B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354455" cy="886460"/>
                  <wp:effectExtent l="0" t="0" r="4445" b="2540"/>
                  <wp:docPr id="2" name="图片 2" descr="ATP-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TP-n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55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9F7EB1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9AF28A5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6B8DC942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本产品随干冰运输，可在-15℃~ -25℃保存两年。</w:t>
      </w:r>
    </w:p>
    <w:p w14:paraId="3D242CFB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F117012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2AA2B4FF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可以室温溶解，溶解后宜存放于冰盒内或冰浴上，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使用过程</w:t>
      </w:r>
      <w:r>
        <w:rPr>
          <w:rFonts w:hint="default" w:ascii="Times New Roman" w:hAnsi="Times New Roman" w:eastAsia="宋体" w:cs="Times New Roman"/>
          <w:sz w:val="21"/>
          <w:szCs w:val="21"/>
        </w:rPr>
        <w:t>小心防止RNase污染降解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使用完毕后宜立即置于-20ºC保存。  </w:t>
      </w:r>
    </w:p>
    <w:p w14:paraId="61826663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6B0AD51C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0BE0F7EE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29E75">
    <w:pPr>
      <w:pStyle w:val="3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2EF962BA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4FA2D68"/>
    <w:rsid w:val="07A309B0"/>
    <w:rsid w:val="13121D85"/>
    <w:rsid w:val="222334A6"/>
    <w:rsid w:val="2C753B49"/>
    <w:rsid w:val="37585548"/>
    <w:rsid w:val="489D335A"/>
    <w:rsid w:val="519629DE"/>
    <w:rsid w:val="51F003FF"/>
    <w:rsid w:val="54B90E10"/>
    <w:rsid w:val="68F918DC"/>
    <w:rsid w:val="75B91E9A"/>
    <w:rsid w:val="7E05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542</Characters>
  <Lines>0</Lines>
  <Paragraphs>0</Paragraphs>
  <TotalTime>0</TotalTime>
  <ScaleCrop>false</ScaleCrop>
  <LinksUpToDate>false</LinksUpToDate>
  <CharactersWithSpaces>554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2025-03-06T13:21:12Z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80F4F92AEBCA4A3B9C13CC11811A469A_13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