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FB1EE">
      <w:pPr>
        <w:pStyle w:val="11"/>
        <w:ind w:firstLine="2881" w:firstLineChars="400"/>
        <w:jc w:val="both"/>
        <w:rPr>
          <w:rFonts w:ascii="方正舒体" w:hAnsi="方正舒体" w:eastAsia="微软雅黑" w:cs="方正舒体"/>
          <w:b/>
          <w:bCs/>
          <w:color w:val="00B050"/>
          <w:sz w:val="72"/>
          <w:szCs w:val="72"/>
        </w:rPr>
      </w:pPr>
      <w:r>
        <w:rPr>
          <w:rFonts w:hint="eastAsia" w:ascii="微软雅黑" w:hAnsi="微软雅黑" w:eastAsia="微软雅黑"/>
          <w:b/>
          <w:bCs/>
          <w:color w:val="00B050"/>
          <w:sz w:val="72"/>
          <w:szCs w:val="72"/>
        </w:rPr>
        <w:drawing>
          <wp:anchor distT="0" distB="0" distL="114300" distR="114300" simplePos="0" relativeHeight="251661312" behindDoc="0" locked="0" layoutInCell="1" allowOverlap="1">
            <wp:simplePos x="0" y="0"/>
            <wp:positionH relativeFrom="column">
              <wp:posOffset>4718050</wp:posOffset>
            </wp:positionH>
            <wp:positionV relativeFrom="paragraph">
              <wp:posOffset>71755</wp:posOffset>
            </wp:positionV>
            <wp:extent cx="274955" cy="242570"/>
            <wp:effectExtent l="0" t="0" r="0" b="11430"/>
            <wp:wrapSquare wrapText="bothSides"/>
            <wp:docPr id="3" name="图片 6" descr="注册商标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注册商标R"/>
                    <pic:cNvPicPr>
                      <a:picLocks noChangeAspect="1"/>
                    </pic:cNvPicPr>
                  </pic:nvPicPr>
                  <pic:blipFill>
                    <a:blip r:embed="rId6"/>
                    <a:stretch>
                      <a:fillRect/>
                    </a:stretch>
                  </pic:blipFill>
                  <pic:spPr>
                    <a:xfrm>
                      <a:off x="0" y="0"/>
                      <a:ext cx="274955" cy="242570"/>
                    </a:xfrm>
                    <a:prstGeom prst="rect">
                      <a:avLst/>
                    </a:prstGeom>
                    <a:noFill/>
                    <a:ln>
                      <a:noFill/>
                    </a:ln>
                  </pic:spPr>
                </pic:pic>
              </a:graphicData>
            </a:graphic>
          </wp:anchor>
        </w:drawing>
      </w:r>
      <w:r>
        <w:rPr>
          <w:rFonts w:hint="eastAsia" w:ascii="微软雅黑" w:hAnsi="微软雅黑" w:eastAsia="微软雅黑"/>
          <w:b/>
          <w:bCs/>
          <w:color w:val="00B050"/>
          <w:sz w:val="84"/>
          <w:szCs w:val="84"/>
        </w:rPr>
        <w:t xml:space="preserve">mlbio </w:t>
      </w:r>
      <w:r>
        <w:rPr>
          <w:rFonts w:hint="eastAsia" w:ascii="微软雅黑" w:hAnsi="微软雅黑" w:eastAsia="微软雅黑"/>
          <w:b/>
          <w:bCs/>
          <w:color w:val="00B050"/>
          <w:sz w:val="72"/>
          <w:szCs w:val="72"/>
        </w:rPr>
        <w:t xml:space="preserve">梅联 </w:t>
      </w:r>
    </w:p>
    <w:p w14:paraId="23EC8EB7">
      <w:pPr>
        <w:pStyle w:val="12"/>
        <w:ind w:firstLine="3602" w:firstLineChars="1000"/>
        <w:rPr>
          <w:rFonts w:eastAsia="微软雅黑"/>
          <w:b/>
          <w:bCs/>
          <w:sz w:val="36"/>
          <w:szCs w:val="36"/>
        </w:rPr>
      </w:pPr>
    </w:p>
    <w:p w14:paraId="6D5FC8DF">
      <w:pPr>
        <w:pStyle w:val="11"/>
        <w:jc w:val="center"/>
        <w:rPr>
          <w:rFonts w:ascii="微软雅黑" w:hAnsi="微软雅黑" w:eastAsia="微软雅黑"/>
          <w:b/>
          <w:bCs/>
          <w:sz w:val="44"/>
          <w:szCs w:val="44"/>
        </w:rPr>
      </w:pPr>
      <w:r>
        <w:rPr>
          <w:rFonts w:hint="eastAsia" w:ascii="微软雅黑" w:hAnsi="微软雅黑" w:eastAsia="微软雅黑"/>
          <w:b/>
          <w:bCs/>
          <w:sz w:val="48"/>
          <w:szCs w:val="48"/>
        </w:rPr>
        <w:t>小鼠脑源性神经营养因子 (BDNF) ELISA</w:t>
      </w:r>
      <w:r>
        <w:rPr>
          <w:rFonts w:hint="eastAsia" w:ascii="微软雅黑" w:hAnsi="微软雅黑" w:eastAsia="微软雅黑"/>
          <w:b/>
          <w:bCs/>
          <w:sz w:val="48"/>
          <w:szCs w:val="48"/>
        </w:rPr>
        <w:br w:type="textWrapping"/>
      </w:r>
      <w:r>
        <w:rPr>
          <w:rFonts w:hint="eastAsia" w:ascii="微软雅黑" w:hAnsi="微软雅黑" w:eastAsia="微软雅黑"/>
          <w:b/>
          <w:bCs/>
          <w:sz w:val="48"/>
          <w:szCs w:val="48"/>
        </w:rPr>
        <w:t>定量检测试剂盒说明书</w:t>
      </w:r>
    </w:p>
    <w:p w14:paraId="08A8679F">
      <w:pPr>
        <w:pStyle w:val="13"/>
        <w:spacing w:after="1720"/>
        <w:ind w:firstLine="320" w:firstLineChars="100"/>
        <w:jc w:val="both"/>
        <w:rPr>
          <w:rFonts w:ascii="微软雅黑" w:hAnsi="微软雅黑" w:eastAsia="微软雅黑"/>
          <w:sz w:val="32"/>
          <w:szCs w:val="32"/>
        </w:rPr>
      </w:pPr>
      <w:r>
        <w:rPr>
          <w:rFonts w:ascii="微软雅黑" w:hAnsi="微软雅黑" w:eastAsia="微软雅黑"/>
          <w:sz w:val="32"/>
          <w:szCs w:val="32"/>
        </w:rPr>
        <w:t>Catalog Number</w:t>
      </w:r>
      <w:r>
        <w:rPr>
          <w:rFonts w:hint="eastAsia" w:ascii="微软雅黑" w:hAnsi="微软雅黑" w:eastAsia="微软雅黑"/>
          <w:sz w:val="32"/>
          <w:szCs w:val="32"/>
        </w:rPr>
        <w:t>：ml002219</w:t>
      </w:r>
      <w:r>
        <w:rPr>
          <w:rFonts w:hint="eastAsia" w:ascii="微软雅黑" w:hAnsi="微软雅黑" w:eastAsia="微软雅黑"/>
          <w:sz w:val="32"/>
          <w:szCs w:val="32"/>
        </w:rPr>
        <w:tab/>
      </w:r>
      <w:r>
        <w:rPr>
          <w:rFonts w:hint="eastAsia" w:ascii="微软雅黑" w:hAnsi="微软雅黑" w:eastAsia="微软雅黑"/>
          <w:sz w:val="32"/>
          <w:szCs w:val="32"/>
        </w:rPr>
        <w:tab/>
      </w:r>
      <w:r>
        <w:rPr>
          <w:rFonts w:hint="eastAsia" w:ascii="微软雅黑" w:hAnsi="微软雅黑" w:eastAsia="微软雅黑"/>
          <w:sz w:val="32"/>
          <w:szCs w:val="32"/>
        </w:rPr>
        <w:tab/>
      </w:r>
      <w:r>
        <w:rPr>
          <w:rFonts w:hint="eastAsia" w:ascii="微软雅黑" w:hAnsi="微软雅黑" w:eastAsia="微软雅黑"/>
          <w:sz w:val="32"/>
          <w:szCs w:val="32"/>
        </w:rPr>
        <w:tab/>
      </w:r>
      <w:r>
        <w:rPr>
          <w:rFonts w:hint="eastAsia" w:ascii="微软雅黑" w:hAnsi="微软雅黑" w:eastAsia="微软雅黑"/>
          <w:sz w:val="32"/>
          <w:szCs w:val="32"/>
        </w:rPr>
        <w:tab/>
      </w:r>
    </w:p>
    <w:p w14:paraId="01D23C16">
      <w:pPr>
        <w:pStyle w:val="12"/>
        <w:rPr>
          <w:rFonts w:ascii="微软雅黑" w:hAnsi="微软雅黑" w:eastAsia="微软雅黑" w:cs="Times New Roman"/>
          <w:color w:val="auto"/>
          <w:sz w:val="30"/>
          <w:szCs w:val="30"/>
        </w:rPr>
      </w:pPr>
      <w:r>
        <w:rPr>
          <w:rFonts w:hint="eastAsia" w:ascii="微软雅黑" w:hAnsi="微软雅黑" w:eastAsia="微软雅黑" w:cs="Times New Roman"/>
          <w:color w:val="auto"/>
          <w:sz w:val="30"/>
          <w:szCs w:val="30"/>
        </w:rPr>
        <w:t>产品仅供教研使用</w:t>
      </w:r>
    </w:p>
    <w:p w14:paraId="36564836">
      <w:pPr>
        <w:pStyle w:val="13"/>
        <w:spacing w:after="100"/>
        <w:jc w:val="both"/>
        <w:rPr>
          <w:rFonts w:ascii="微软雅黑" w:hAnsi="微软雅黑" w:eastAsia="微软雅黑"/>
          <w:sz w:val="30"/>
          <w:szCs w:val="30"/>
        </w:rPr>
      </w:pPr>
      <w:r>
        <w:rPr>
          <w:rFonts w:hint="eastAsia" w:ascii="微软雅黑" w:hAnsi="微软雅黑" w:eastAsia="微软雅黑"/>
          <w:sz w:val="30"/>
          <w:szCs w:val="30"/>
        </w:rPr>
        <w:t>用于定量检测细胞培养上清、血清、血浆中小鼠BDNF</w:t>
      </w:r>
    </w:p>
    <w:p w14:paraId="402EDB53">
      <w:pPr>
        <w:pStyle w:val="12"/>
        <w:rPr>
          <w:rFonts w:eastAsia="微软雅黑"/>
        </w:rPr>
      </w:pPr>
      <w:r>
        <w:rPr>
          <w:rFonts w:hint="eastAsia" w:eastAsia="微软雅黑"/>
        </w:rPr>
        <w:t xml:space="preserve">                                   </w:t>
      </w:r>
    </w:p>
    <w:p w14:paraId="6723D491">
      <w:pPr>
        <w:pStyle w:val="12"/>
        <w:rPr>
          <w:rFonts w:eastAsia="微软雅黑"/>
        </w:rPr>
      </w:pPr>
    </w:p>
    <w:p w14:paraId="09595C0C">
      <w:pPr>
        <w:pStyle w:val="12"/>
        <w:rPr>
          <w:rFonts w:eastAsia="微软雅黑"/>
        </w:rPr>
      </w:pPr>
    </w:p>
    <w:p w14:paraId="4960D3EE">
      <w:pPr>
        <w:pStyle w:val="12"/>
        <w:rPr>
          <w:rFonts w:eastAsia="微软雅黑"/>
        </w:rPr>
      </w:pPr>
    </w:p>
    <w:p w14:paraId="186FF82E">
      <w:pPr>
        <w:pStyle w:val="12"/>
        <w:rPr>
          <w:rFonts w:eastAsia="微软雅黑"/>
        </w:rPr>
      </w:pPr>
    </w:p>
    <w:p w14:paraId="3B3EE2C5">
      <w:pPr>
        <w:pStyle w:val="12"/>
        <w:rPr>
          <w:rFonts w:eastAsia="微软雅黑"/>
        </w:rPr>
      </w:pPr>
    </w:p>
    <w:p w14:paraId="1A7F12B8">
      <w:pPr>
        <w:pStyle w:val="12"/>
        <w:rPr>
          <w:rFonts w:ascii="微软雅黑" w:hAnsi="微软雅黑" w:eastAsia="微软雅黑" w:cs="Times New Roman"/>
        </w:rPr>
      </w:pPr>
    </w:p>
    <w:p w14:paraId="17A3BA9A">
      <w:pPr>
        <w:pStyle w:val="12"/>
        <w:rPr>
          <w:rFonts w:ascii="微软雅黑" w:hAnsi="微软雅黑" w:eastAsia="微软雅黑" w:cs="Times New Roman"/>
        </w:rPr>
      </w:pPr>
    </w:p>
    <w:p w14:paraId="52267324">
      <w:pPr>
        <w:pStyle w:val="13"/>
        <w:spacing w:after="100"/>
        <w:ind w:firstLine="140" w:firstLineChars="50"/>
        <w:rPr>
          <w:rFonts w:ascii="微软雅黑" w:hAnsi="微软雅黑" w:eastAsia="微软雅黑"/>
        </w:rPr>
      </w:pPr>
      <w:r>
        <w:rPr>
          <w:rFonts w:hint="eastAsia" w:ascii="微软雅黑" w:hAnsi="微软雅黑" w:eastAsia="微软雅黑"/>
          <w:b/>
          <w:bCs/>
          <w:color w:val="00B050"/>
          <w:sz w:val="28"/>
          <w:szCs w:val="28"/>
        </w:rPr>
        <w:t>使用本产品之前，必须完整阅读本说明书。仅供科研使用，不能于临床诊断或治疗。</w:t>
      </w:r>
      <w:r>
        <w:rPr>
          <w:rFonts w:hint="eastAsia" w:ascii="微软雅黑" w:hAnsi="微软雅黑" w:eastAsia="微软雅黑"/>
          <w:b/>
          <w:bCs/>
          <w:color w:val="00B050"/>
          <w:sz w:val="28"/>
          <w:szCs w:val="28"/>
        </w:rPr>
        <w:br w:type="textWrapping"/>
      </w:r>
    </w:p>
    <w:p w14:paraId="369CDAAD">
      <w:pPr>
        <w:pStyle w:val="5"/>
        <w:rPr>
          <w:rFonts w:ascii="微软雅黑" w:hAnsi="微软雅黑" w:eastAsia="微软雅黑"/>
          <w:sz w:val="24"/>
          <w:szCs w:val="24"/>
        </w:rPr>
      </w:pPr>
      <w:r>
        <w:rPr>
          <w:rFonts w:ascii="微软雅黑" w:hAnsi="微软雅黑" w:eastAsia="微软雅黑"/>
          <w:sz w:val="24"/>
          <w:szCs w:val="24"/>
        </w:rPr>
        <w:br w:type="textWrapping"/>
      </w: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"_Toc164420454" </w:instrText>
      </w:r>
      <w:r>
        <w:fldChar w:fldCharType="separate"/>
      </w:r>
      <w:r>
        <w:rPr>
          <w:rStyle w:val="9"/>
          <w:rFonts w:hint="eastAsia" w:ascii="微软雅黑" w:hAnsi="微软雅黑" w:eastAsia="微软雅黑"/>
          <w:sz w:val="24"/>
          <w:szCs w:val="24"/>
        </w:rPr>
        <w:t>简介</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_Toc164420454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9C4B008">
      <w:pPr>
        <w:pStyle w:val="5"/>
        <w:rPr>
          <w:rFonts w:ascii="微软雅黑" w:hAnsi="微软雅黑" w:eastAsia="微软雅黑"/>
          <w:sz w:val="24"/>
          <w:szCs w:val="24"/>
        </w:rPr>
      </w:pPr>
      <w:r>
        <w:fldChar w:fldCharType="begin"/>
      </w:r>
      <w:r>
        <w:instrText xml:space="preserve"> HYPERLINK \l "_Toc164420455" </w:instrText>
      </w:r>
      <w:r>
        <w:fldChar w:fldCharType="separate"/>
      </w:r>
      <w:r>
        <w:rPr>
          <w:rStyle w:val="9"/>
          <w:rFonts w:hint="eastAsia" w:ascii="微软雅黑" w:hAnsi="微软雅黑" w:eastAsia="微软雅黑"/>
          <w:sz w:val="24"/>
          <w:szCs w:val="24"/>
        </w:rPr>
        <w:t>检测原理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_Toc164420455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6DD99C0">
      <w:pPr>
        <w:pStyle w:val="5"/>
        <w:rPr>
          <w:rFonts w:ascii="微软雅黑" w:hAnsi="微软雅黑" w:eastAsia="微软雅黑"/>
          <w:sz w:val="24"/>
          <w:szCs w:val="24"/>
        </w:rPr>
      </w:pPr>
      <w:r>
        <w:fldChar w:fldCharType="begin"/>
      </w:r>
      <w:r>
        <w:instrText xml:space="preserve"> HYPERLINK \l "_Toc164420456" </w:instrText>
      </w:r>
      <w:r>
        <w:fldChar w:fldCharType="separate"/>
      </w:r>
      <w:r>
        <w:rPr>
          <w:rStyle w:val="9"/>
          <w:rFonts w:hint="eastAsia" w:ascii="微软雅黑" w:hAnsi="微软雅黑" w:eastAsia="微软雅黑"/>
          <w:sz w:val="24"/>
          <w:szCs w:val="24"/>
        </w:rPr>
        <w:t>检测实验的局限性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_Toc164420456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029B6BD">
      <w:pPr>
        <w:pStyle w:val="5"/>
        <w:rPr>
          <w:rFonts w:ascii="微软雅黑" w:hAnsi="微软雅黑" w:eastAsia="微软雅黑"/>
          <w:sz w:val="24"/>
          <w:szCs w:val="24"/>
        </w:rPr>
      </w:pPr>
      <w:r>
        <w:fldChar w:fldCharType="begin"/>
      </w:r>
      <w:r>
        <w:instrText xml:space="preserve"> HYPERLINK \l "_Toc164420457" </w:instrText>
      </w:r>
      <w:r>
        <w:fldChar w:fldCharType="separate"/>
      </w:r>
      <w:r>
        <w:rPr>
          <w:rStyle w:val="9"/>
          <w:rFonts w:hint="eastAsia" w:ascii="微软雅黑" w:hAnsi="微软雅黑" w:eastAsia="微软雅黑"/>
          <w:sz w:val="24"/>
          <w:szCs w:val="24"/>
        </w:rPr>
        <w:t>操作要点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_Toc164420457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A87A4F7">
      <w:pPr>
        <w:pStyle w:val="5"/>
        <w:rPr>
          <w:rFonts w:ascii="微软雅黑" w:hAnsi="微软雅黑" w:eastAsia="微软雅黑"/>
          <w:sz w:val="24"/>
          <w:szCs w:val="24"/>
        </w:rPr>
      </w:pPr>
      <w:r>
        <w:fldChar w:fldCharType="begin"/>
      </w:r>
      <w:r>
        <w:instrText xml:space="preserve"> HYPERLINK \l "_Toc164420458" </w:instrText>
      </w:r>
      <w:r>
        <w:fldChar w:fldCharType="separate"/>
      </w:r>
      <w:r>
        <w:rPr>
          <w:rStyle w:val="9"/>
          <w:rFonts w:hint="eastAsia" w:ascii="微软雅黑" w:hAnsi="微软雅黑" w:eastAsia="微软雅黑"/>
          <w:sz w:val="24"/>
          <w:szCs w:val="24"/>
        </w:rPr>
        <w:t>试剂盒组成及储存条件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_Toc164420458 \h </w:instrText>
      </w:r>
      <w:r>
        <w:rPr>
          <w:rFonts w:ascii="微软雅黑" w:hAnsi="微软雅黑" w:eastAsia="微软雅黑"/>
          <w:sz w:val="24"/>
          <w:szCs w:val="24"/>
        </w:rPr>
        <w:fldChar w:fldCharType="separate"/>
      </w:r>
      <w:r>
        <w:rPr>
          <w:rFonts w:hint="eastAsia" w:ascii="微软雅黑" w:hAnsi="微软雅黑" w:eastAsia="微软雅黑"/>
          <w:sz w:val="24"/>
          <w:szCs w:val="24"/>
        </w:rPr>
        <w:t>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C5C827C">
      <w:pPr>
        <w:pStyle w:val="5"/>
        <w:rPr>
          <w:rFonts w:ascii="微软雅黑" w:hAnsi="微软雅黑" w:eastAsia="微软雅黑"/>
          <w:sz w:val="24"/>
          <w:szCs w:val="24"/>
        </w:rPr>
      </w:pPr>
      <w:r>
        <w:fldChar w:fldCharType="begin"/>
      </w:r>
      <w:r>
        <w:instrText xml:space="preserve"> HYPERLINK \l "_Toc164420459" </w:instrText>
      </w:r>
      <w:r>
        <w:fldChar w:fldCharType="separate"/>
      </w:r>
      <w:r>
        <w:rPr>
          <w:rStyle w:val="9"/>
          <w:rFonts w:hint="eastAsia" w:ascii="微软雅黑" w:hAnsi="微软雅黑" w:eastAsia="微软雅黑"/>
          <w:sz w:val="24"/>
          <w:szCs w:val="24"/>
        </w:rPr>
        <w:t>需要的其他材料</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_Toc164420459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274DFD3">
      <w:pPr>
        <w:pStyle w:val="5"/>
        <w:rPr>
          <w:rFonts w:ascii="微软雅黑" w:hAnsi="微软雅黑" w:eastAsia="微软雅黑"/>
          <w:sz w:val="24"/>
          <w:szCs w:val="24"/>
        </w:rPr>
      </w:pPr>
      <w:r>
        <w:fldChar w:fldCharType="begin"/>
      </w:r>
      <w:r>
        <w:instrText xml:space="preserve"> HYPERLINK \l "_Toc164420460" </w:instrText>
      </w:r>
      <w:r>
        <w:fldChar w:fldCharType="separate"/>
      </w:r>
      <w:r>
        <w:rPr>
          <w:rStyle w:val="9"/>
          <w:rFonts w:hint="eastAsia" w:ascii="微软雅黑" w:hAnsi="微软雅黑" w:eastAsia="微软雅黑"/>
          <w:sz w:val="24"/>
          <w:szCs w:val="24"/>
        </w:rPr>
        <w:t>注意事项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_Toc164420460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ACC531D">
      <w:pPr>
        <w:pStyle w:val="5"/>
        <w:rPr>
          <w:rFonts w:ascii="微软雅黑" w:hAnsi="微软雅黑" w:eastAsia="微软雅黑"/>
          <w:sz w:val="24"/>
          <w:szCs w:val="24"/>
        </w:rPr>
      </w:pPr>
      <w:r>
        <w:fldChar w:fldCharType="begin"/>
      </w:r>
      <w:r>
        <w:instrText xml:space="preserve"> HYPERLINK \l "_Toc164420461" </w:instrText>
      </w:r>
      <w:r>
        <w:fldChar w:fldCharType="separate"/>
      </w:r>
      <w:r>
        <w:rPr>
          <w:rStyle w:val="9"/>
          <w:rFonts w:hint="eastAsia" w:ascii="微软雅黑" w:hAnsi="微软雅黑" w:eastAsia="微软雅黑"/>
          <w:sz w:val="24"/>
          <w:szCs w:val="24"/>
        </w:rPr>
        <w:t>样品预处理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_Toc164420461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E786752">
      <w:pPr>
        <w:pStyle w:val="5"/>
        <w:rPr>
          <w:rFonts w:ascii="微软雅黑" w:hAnsi="微软雅黑" w:eastAsia="微软雅黑"/>
          <w:sz w:val="24"/>
          <w:szCs w:val="24"/>
        </w:rPr>
      </w:pPr>
      <w:r>
        <w:fldChar w:fldCharType="begin"/>
      </w:r>
      <w:r>
        <w:instrText xml:space="preserve"> HYPERLINK \l "_Toc164420463" </w:instrText>
      </w:r>
      <w:r>
        <w:fldChar w:fldCharType="separate"/>
      </w:r>
      <w:r>
        <w:rPr>
          <w:rStyle w:val="9"/>
          <w:rFonts w:hint="eastAsia" w:ascii="微软雅黑" w:hAnsi="微软雅黑" w:eastAsia="微软雅黑"/>
          <w:sz w:val="24"/>
          <w:szCs w:val="24"/>
        </w:rPr>
        <w:t>试剂准备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_Toc164420463 \h </w:instrText>
      </w:r>
      <w:r>
        <w:rPr>
          <w:rFonts w:ascii="微软雅黑" w:hAnsi="微软雅黑" w:eastAsia="微软雅黑"/>
          <w:sz w:val="24"/>
          <w:szCs w:val="24"/>
        </w:rPr>
        <w:fldChar w:fldCharType="separate"/>
      </w:r>
      <w:r>
        <w:rPr>
          <w:rFonts w:hint="eastAsia" w:ascii="微软雅黑" w:hAnsi="微软雅黑" w:eastAsia="微软雅黑"/>
          <w:sz w:val="24"/>
          <w:szCs w:val="24"/>
        </w:rPr>
        <w:t>10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0BCA6C1">
      <w:pPr>
        <w:pStyle w:val="5"/>
        <w:rPr>
          <w:rFonts w:ascii="微软雅黑" w:hAnsi="微软雅黑" w:eastAsia="微软雅黑"/>
          <w:sz w:val="24"/>
          <w:szCs w:val="24"/>
        </w:rPr>
      </w:pPr>
      <w:r>
        <w:fldChar w:fldCharType="begin"/>
      </w:r>
      <w:r>
        <w:instrText xml:space="preserve"> HYPERLINK \l "_Toc164420464" </w:instrText>
      </w:r>
      <w:r>
        <w:fldChar w:fldCharType="separate"/>
      </w:r>
      <w:r>
        <w:rPr>
          <w:rStyle w:val="9"/>
          <w:rFonts w:hint="eastAsia" w:ascii="微软雅黑" w:hAnsi="微软雅黑" w:eastAsia="微软雅黑"/>
          <w:sz w:val="24"/>
          <w:szCs w:val="24"/>
        </w:rPr>
        <w:t>实验步骤</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_Toc164420464 \h </w:instrText>
      </w:r>
      <w:r>
        <w:rPr>
          <w:rFonts w:ascii="微软雅黑" w:hAnsi="微软雅黑" w:eastAsia="微软雅黑"/>
          <w:sz w:val="24"/>
          <w:szCs w:val="24"/>
        </w:rPr>
        <w:fldChar w:fldCharType="separate"/>
      </w:r>
      <w:r>
        <w:rPr>
          <w:rFonts w:hint="eastAsia" w:ascii="微软雅黑" w:hAnsi="微软雅黑" w:eastAsia="微软雅黑"/>
          <w:sz w:val="24"/>
          <w:szCs w:val="24"/>
        </w:rPr>
        <w:t>11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C93142B">
      <w:pPr>
        <w:pStyle w:val="5"/>
        <w:rPr>
          <w:rFonts w:ascii="微软雅黑" w:hAnsi="微软雅黑" w:eastAsia="微软雅黑"/>
          <w:sz w:val="24"/>
          <w:szCs w:val="24"/>
        </w:rPr>
      </w:pPr>
      <w:r>
        <w:fldChar w:fldCharType="begin"/>
      </w:r>
      <w:r>
        <w:instrText xml:space="preserve"> HYPERLINK \l "_Toc164420465" </w:instrText>
      </w:r>
      <w:r>
        <w:fldChar w:fldCharType="separate"/>
      </w:r>
      <w:r>
        <w:rPr>
          <w:rStyle w:val="9"/>
          <w:rFonts w:hint="eastAsia" w:ascii="微软雅黑" w:hAnsi="微软雅黑" w:eastAsia="微软雅黑"/>
          <w:sz w:val="24"/>
          <w:szCs w:val="24"/>
        </w:rPr>
        <w:t>结果的计算</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_Toc164420465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CF2D90F">
      <w:pPr>
        <w:pStyle w:val="5"/>
        <w:rPr>
          <w:rFonts w:ascii="微软雅黑" w:hAnsi="微软雅黑" w:eastAsia="微软雅黑"/>
          <w:sz w:val="24"/>
          <w:szCs w:val="24"/>
        </w:rPr>
      </w:pPr>
      <w:r>
        <w:fldChar w:fldCharType="begin"/>
      </w:r>
      <w:r>
        <w:instrText xml:space="preserve"> HYPERLINK \l "_Toc164420466" </w:instrText>
      </w:r>
      <w:r>
        <w:fldChar w:fldCharType="separate"/>
      </w:r>
      <w:r>
        <w:rPr>
          <w:rStyle w:val="9"/>
          <w:rFonts w:hint="eastAsia" w:ascii="微软雅黑" w:hAnsi="微软雅黑" w:eastAsia="微软雅黑"/>
          <w:sz w:val="24"/>
          <w:szCs w:val="24"/>
        </w:rPr>
        <w:t>示例数据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_Toc164420466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601EA76">
      <w:pPr>
        <w:pStyle w:val="5"/>
        <w:rPr>
          <w:rFonts w:ascii="微软雅黑" w:hAnsi="微软雅黑" w:eastAsia="微软雅黑"/>
          <w:sz w:val="24"/>
          <w:szCs w:val="24"/>
        </w:rPr>
      </w:pPr>
      <w:r>
        <w:fldChar w:fldCharType="begin"/>
      </w:r>
      <w:r>
        <w:instrText xml:space="preserve"> HYPERLINK \l "_Toc164420467" </w:instrText>
      </w:r>
      <w:r>
        <w:fldChar w:fldCharType="separate"/>
      </w:r>
      <w:r>
        <w:rPr>
          <w:rStyle w:val="9"/>
          <w:rFonts w:hint="eastAsia" w:ascii="微软雅黑" w:hAnsi="微软雅黑" w:eastAsia="微软雅黑"/>
          <w:sz w:val="24"/>
          <w:szCs w:val="24"/>
        </w:rPr>
        <w:t>精密度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_Toc164420467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DC694DD">
      <w:pPr>
        <w:pStyle w:val="5"/>
        <w:rPr>
          <w:rFonts w:ascii="微软雅黑" w:hAnsi="微软雅黑" w:eastAsia="微软雅黑"/>
          <w:sz w:val="24"/>
          <w:szCs w:val="24"/>
        </w:rPr>
      </w:pPr>
      <w:r>
        <w:fldChar w:fldCharType="begin"/>
      </w:r>
      <w:r>
        <w:instrText xml:space="preserve"> HYPERLINK \l "_Toc164420468" </w:instrText>
      </w:r>
      <w:r>
        <w:fldChar w:fldCharType="separate"/>
      </w:r>
      <w:r>
        <w:rPr>
          <w:rStyle w:val="9"/>
          <w:rFonts w:hint="eastAsia" w:ascii="微软雅黑" w:hAnsi="微软雅黑" w:eastAsia="微软雅黑"/>
          <w:sz w:val="24"/>
          <w:szCs w:val="24"/>
        </w:rPr>
        <w:t>回收率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_Toc164420468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0F8F3E9">
      <w:pPr>
        <w:pStyle w:val="5"/>
        <w:rPr>
          <w:rFonts w:ascii="微软雅黑" w:hAnsi="微软雅黑" w:eastAsia="微软雅黑"/>
          <w:sz w:val="24"/>
          <w:szCs w:val="24"/>
        </w:rPr>
      </w:pPr>
      <w:r>
        <w:fldChar w:fldCharType="begin"/>
      </w:r>
      <w:r>
        <w:instrText xml:space="preserve"> HYPERLINK \l "_Toc164420469" </w:instrText>
      </w:r>
      <w:r>
        <w:fldChar w:fldCharType="separate"/>
      </w:r>
      <w:r>
        <w:rPr>
          <w:rStyle w:val="9"/>
          <w:rFonts w:hint="eastAsia" w:ascii="微软雅黑" w:hAnsi="微软雅黑" w:eastAsia="微软雅黑"/>
          <w:sz w:val="24"/>
          <w:szCs w:val="24"/>
        </w:rPr>
        <w:t>灵敏度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_Toc164420469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B069F61">
      <w:pPr>
        <w:pStyle w:val="5"/>
        <w:rPr>
          <w:rFonts w:ascii="微软雅黑" w:hAnsi="微软雅黑" w:eastAsia="微软雅黑"/>
          <w:sz w:val="24"/>
          <w:szCs w:val="24"/>
        </w:rPr>
      </w:pPr>
      <w:r>
        <w:fldChar w:fldCharType="begin"/>
      </w:r>
      <w:r>
        <w:instrText xml:space="preserve"> HYPERLINK \l "_Toc164420470" </w:instrText>
      </w:r>
      <w:r>
        <w:fldChar w:fldCharType="separate"/>
      </w:r>
      <w:r>
        <w:rPr>
          <w:rStyle w:val="9"/>
          <w:rFonts w:hint="eastAsia" w:ascii="微软雅黑" w:hAnsi="微软雅黑" w:eastAsia="微软雅黑"/>
          <w:sz w:val="24"/>
          <w:szCs w:val="24"/>
        </w:rPr>
        <w:t>线性关系</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_Toc164420470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E3F1324">
      <w:pPr>
        <w:pStyle w:val="5"/>
        <w:rPr>
          <w:rFonts w:ascii="微软雅黑" w:hAnsi="微软雅黑" w:eastAsia="微软雅黑"/>
          <w:sz w:val="24"/>
          <w:szCs w:val="24"/>
        </w:rPr>
      </w:pPr>
      <w:r>
        <w:fldChar w:fldCharType="begin"/>
      </w:r>
      <w:r>
        <w:instrText xml:space="preserve"> HYPERLINK \l "_Toc164420472" </w:instrText>
      </w:r>
      <w:r>
        <w:fldChar w:fldCharType="separate"/>
      </w:r>
      <w:r>
        <w:rPr>
          <w:rStyle w:val="9"/>
          <w:rFonts w:hint="eastAsia" w:ascii="微软雅黑" w:hAnsi="微软雅黑" w:eastAsia="微软雅黑"/>
          <w:sz w:val="24"/>
          <w:szCs w:val="24"/>
        </w:rPr>
        <w:t>特异性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_Toc164420472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8274C93">
      <w:pPr>
        <w:pStyle w:val="5"/>
        <w:rPr>
          <w:rFonts w:ascii="微软雅黑" w:hAnsi="微软雅黑" w:eastAsia="微软雅黑"/>
          <w:b/>
          <w:bCs/>
          <w:color w:val="00B050"/>
          <w:sz w:val="20"/>
          <w:szCs w:val="20"/>
        </w:rPr>
      </w:pPr>
      <w:r>
        <w:fldChar w:fldCharType="begin"/>
      </w:r>
      <w:r>
        <w:instrText xml:space="preserve"> HYPERLINK \l "_Toc164420473" </w:instrText>
      </w:r>
      <w:r>
        <w:fldChar w:fldCharType="separate"/>
      </w:r>
      <w:r>
        <w:rPr>
          <w:rStyle w:val="9"/>
          <w:rFonts w:hint="eastAsia" w:ascii="微软雅黑" w:hAnsi="微软雅黑" w:eastAsia="微软雅黑"/>
          <w:sz w:val="24"/>
          <w:szCs w:val="24"/>
        </w:rPr>
        <w:t>参考文献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_Toc164420473 \h </w:instrText>
      </w:r>
      <w:r>
        <w:rPr>
          <w:rFonts w:ascii="微软雅黑" w:hAnsi="微软雅黑" w:eastAsia="微软雅黑"/>
          <w:sz w:val="24"/>
          <w:szCs w:val="24"/>
        </w:rPr>
        <w:fldChar w:fldCharType="separate"/>
      </w:r>
      <w:r>
        <w:rPr>
          <w:rFonts w:hint="eastAsia"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A7D2BD8"/>
    <w:p w14:paraId="45DA5F28">
      <w:pPr>
        <w:pStyle w:val="15"/>
        <w:rPr>
          <w:rFonts w:ascii="微软雅黑" w:hAnsi="微软雅黑" w:eastAsia="微软雅黑" w:cs="微软雅黑"/>
          <w:b/>
          <w:bCs/>
          <w:color w:val="00B050"/>
          <w:kern w:val="2"/>
          <w:sz w:val="32"/>
          <w:szCs w:val="32"/>
        </w:rPr>
      </w:pPr>
      <w:r>
        <w:rPr>
          <w:rFonts w:ascii="微软雅黑" w:hAnsi="微软雅黑" w:eastAsia="微软雅黑"/>
        </w:rPr>
        <w:fldChar w:fldCharType="end"/>
      </w:r>
      <w:bookmarkStart w:id="0" w:name="_Toc164420454"/>
      <w:r>
        <w:rPr>
          <w:rFonts w:ascii="微软雅黑" w:hAnsi="微软雅黑" w:eastAsia="微软雅黑"/>
        </w:rPr>
        <w:br w:type="textWrapping"/>
      </w:r>
      <w:r>
        <w:rPr>
          <w:rFonts w:ascii="微软雅黑" w:hAnsi="微软雅黑" w:eastAsia="微软雅黑"/>
        </w:rPr>
        <w:br w:type="textWrapping"/>
      </w:r>
      <w:r>
        <w:rPr>
          <w:rFonts w:hint="eastAsia" w:ascii="微软雅黑" w:hAnsi="微软雅黑" w:eastAsia="微软雅黑" w:cs="微软雅黑"/>
          <w:b/>
          <w:bCs/>
          <w:color w:val="00B050"/>
          <w:kern w:val="2"/>
          <w:sz w:val="32"/>
          <w:szCs w:val="32"/>
        </w:rPr>
        <w:t>简介</w:t>
      </w:r>
      <w:bookmarkEnd w:id="0"/>
      <w:r>
        <w:rPr>
          <w:rFonts w:hint="eastAsia" w:ascii="微软雅黑" w:hAnsi="微软雅黑" w:eastAsia="微软雅黑" w:cs="微软雅黑"/>
          <w:sz w:val="32"/>
          <w:szCs w:val="32"/>
        </w:rPr>
        <w:t xml:space="preserve">    </w:t>
      </w:r>
    </w:p>
    <w:p w14:paraId="6D7FB8AF">
      <w:pPr>
        <w:pStyle w:val="16"/>
        <w:ind w:firstLine="640" w:firstLineChars="200"/>
        <w:rPr>
          <w:rFonts w:ascii="微软雅黑" w:hAnsi="微软雅黑" w:eastAsia="微软雅黑" w:cs="微软雅黑"/>
          <w:sz w:val="32"/>
          <w:szCs w:val="32"/>
        </w:rPr>
      </w:pPr>
      <w:bookmarkStart w:id="1" w:name="_Toc164420455"/>
      <w:r>
        <w:rPr>
          <w:rFonts w:hint="eastAsia" w:ascii="微软雅黑" w:hAnsi="微软雅黑" w:eastAsia="微软雅黑" w:cs="微软雅黑"/>
          <w:sz w:val="32"/>
          <w:szCs w:val="32"/>
        </w:rPr>
        <w:t>脑源性神经营养因子（BDNF），或称abrineurin，是一种蛋白质，由BDNF基因编码。BDNF是神经营养素家族的成员，与典型的神经生长因子有关。神经营养因子存在于大脑和周边地区。BDNF于1982年由Yves-Alain Barde和Hans Thoenen首次从猪脑中分离出来。BDNF作用于中枢神经系统和外周神经系统的某些神经元，帮助支持现有神经元的生存，并鼓励新神经元和突触的生长和分化。 在大脑中，它在海马体、皮层和基底前脑--对学习、记忆和高级思维至关重要的区域--中表现活跃。BDNF本身对长期记忆很重要。</w:t>
      </w:r>
      <w:r>
        <w:rPr>
          <w:rFonts w:hint="eastAsia" w:ascii="微软雅黑" w:hAnsi="微软雅黑" w:eastAsia="微软雅黑" w:cs="微软雅黑"/>
          <w:sz w:val="32"/>
          <w:szCs w:val="32"/>
        </w:rPr>
        <w:br w:type="textWrapping"/>
      </w:r>
    </w:p>
    <w:p w14:paraId="19DD1416">
      <w:pPr>
        <w:pStyle w:val="16"/>
        <w:ind w:firstLine="640" w:firstLineChars="200"/>
        <w:rPr>
          <w:rFonts w:ascii="微软雅黑" w:hAnsi="微软雅黑" w:eastAsia="微软雅黑" w:cs="微软雅黑"/>
          <w:sz w:val="32"/>
        </w:rPr>
      </w:pPr>
      <w:r>
        <w:rPr>
          <w:rFonts w:hint="eastAsia" w:ascii="微软雅黑" w:hAnsi="微软雅黑" w:eastAsia="微软雅黑" w:cs="微软雅黑"/>
          <w:sz w:val="32"/>
          <w:szCs w:val="32"/>
        </w:rPr>
        <w:t>本试剂盒小鼠BDNF免疫测定是一种三步法固相夹心ELISA，用于测量细胞培养上清液、血清和血浆中的小鼠BDNF。试剂盒包含大肠杆菌表达重组小鼠BDNF和针对重组蛋白产生的抗体。使用天然小鼠BDNF获得的结果显示出与使用重组标准品获得的标准曲线平行的线性曲线。这些结果表明，该试剂盒可用于测定天然小鼠BDNF的相对质量值。</w:t>
      </w:r>
      <w:r>
        <w:rPr>
          <w:rFonts w:hint="eastAsia" w:ascii="微软雅黑" w:hAnsi="微软雅黑" w:eastAsia="微软雅黑" w:cs="微软雅黑"/>
          <w:sz w:val="32"/>
          <w:szCs w:val="32"/>
        </w:rPr>
        <w:br w:type="textWrapping"/>
      </w:r>
    </w:p>
    <w:p w14:paraId="5070377C">
      <w:pPr>
        <w:pStyle w:val="6"/>
        <w:rPr>
          <w:rFonts w:ascii="微软雅黑" w:hAnsi="微软雅黑" w:eastAsia="微软雅黑" w:cs="微软雅黑"/>
          <w:sz w:val="32"/>
        </w:rPr>
      </w:pPr>
      <w:r>
        <w:rPr>
          <w:rFonts w:hint="eastAsia" w:ascii="微软雅黑" w:hAnsi="微软雅黑" w:eastAsia="微软雅黑" w:cs="微软雅黑"/>
          <w:sz w:val="32"/>
        </w:rPr>
        <w:t>检测原理</w:t>
      </w:r>
      <w:bookmarkEnd w:id="1"/>
      <w:r>
        <w:rPr>
          <w:rFonts w:hint="eastAsia" w:ascii="微软雅黑" w:hAnsi="微软雅黑" w:eastAsia="微软雅黑" w:cs="微软雅黑"/>
          <w:sz w:val="32"/>
        </w:rPr>
        <w:t xml:space="preserve"> </w:t>
      </w:r>
    </w:p>
    <w:p w14:paraId="40B1BB12">
      <w:pPr>
        <w:pStyle w:val="14"/>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试剂盒采用双抗体夹心法ELISA技术：将捕获抗体包被于酶标板上，捕获样品及标准品中的待测物BDNF，孵育清洗后，再加入</w:t>
      </w:r>
      <w:r>
        <w:rPr>
          <w:rFonts w:hint="eastAsia" w:ascii="微软雅黑" w:hAnsi="微软雅黑" w:eastAsia="微软雅黑" w:cs="微软雅黑"/>
          <w:color w:val="000000"/>
          <w:sz w:val="32"/>
          <w:szCs w:val="32"/>
        </w:rPr>
        <w:t>生物素</w:t>
      </w:r>
      <w:r>
        <w:rPr>
          <w:rFonts w:hint="eastAsia" w:ascii="微软雅黑" w:hAnsi="微软雅黑" w:eastAsia="微软雅黑" w:cs="微软雅黑"/>
          <w:sz w:val="32"/>
          <w:szCs w:val="32"/>
        </w:rPr>
        <w:t>标记的检测抗体进行孵育后清洗，形成“捕获抗体-抗原-检测抗体”免疫复合物，随后加入链霉亲和素偶联的辣根过氧化物酶进行孵育，待孵育结束后清洗，接着加入TMB显色液后，若样本中有待测物则显蓝色，则加入终止液停止反应。检测过程中游离的成分均被洗去，用酶标仪在450nm处测OD值，颜色的深浅和样品中的待测物的含量呈正比，通过绘制标准曲线计算出样本中BDNF的浓度。</w:t>
      </w:r>
      <w:r>
        <w:rPr>
          <w:rFonts w:hint="eastAsia" w:ascii="微软雅黑" w:hAnsi="微软雅黑" w:eastAsia="微软雅黑" w:cs="微软雅黑"/>
          <w:sz w:val="32"/>
          <w:szCs w:val="32"/>
        </w:rPr>
        <w:br w:type="textWrapping"/>
      </w:r>
    </w:p>
    <w:p w14:paraId="7FD7CBBF">
      <w:pPr>
        <w:pStyle w:val="12"/>
        <w:rPr>
          <w:sz w:val="32"/>
          <w:szCs w:val="32"/>
        </w:rPr>
      </w:pPr>
      <w:r>
        <w:rPr>
          <w:rFonts w:hint="eastAsia"/>
        </w:rPr>
        <w:drawing>
          <wp:anchor distT="0" distB="0" distL="114300" distR="114300" simplePos="0" relativeHeight="251659264" behindDoc="0" locked="0" layoutInCell="1" allowOverlap="1">
            <wp:simplePos x="0" y="0"/>
            <wp:positionH relativeFrom="column">
              <wp:posOffset>170180</wp:posOffset>
            </wp:positionH>
            <wp:positionV relativeFrom="paragraph">
              <wp:posOffset>241300</wp:posOffset>
            </wp:positionV>
            <wp:extent cx="4100830" cy="3052445"/>
            <wp:effectExtent l="0" t="0" r="0" b="0"/>
            <wp:wrapSquare wrapText="bothSides"/>
            <wp:docPr id="1" name="图片 16" descr="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4h"/>
                    <pic:cNvPicPr>
                      <a:picLocks noChangeAspect="1"/>
                    </pic:cNvPicPr>
                  </pic:nvPicPr>
                  <pic:blipFill>
                    <a:blip r:embed="rId7"/>
                    <a:stretch>
                      <a:fillRect/>
                    </a:stretch>
                  </pic:blipFill>
                  <pic:spPr>
                    <a:xfrm>
                      <a:off x="0" y="0"/>
                      <a:ext cx="4100830" cy="3052445"/>
                    </a:xfrm>
                    <a:prstGeom prst="rect">
                      <a:avLst/>
                    </a:prstGeom>
                    <a:noFill/>
                    <a:ln>
                      <a:noFill/>
                    </a:ln>
                  </pic:spPr>
                </pic:pic>
              </a:graphicData>
            </a:graphic>
          </wp:anchor>
        </w:drawing>
      </w:r>
    </w:p>
    <w:p w14:paraId="044EECD4">
      <w:pPr>
        <w:pStyle w:val="12"/>
        <w:rPr>
          <w:sz w:val="32"/>
          <w:szCs w:val="32"/>
        </w:rPr>
      </w:pPr>
    </w:p>
    <w:p w14:paraId="67D01E8F">
      <w:pPr>
        <w:pStyle w:val="12"/>
        <w:rPr>
          <w:sz w:val="32"/>
          <w:szCs w:val="32"/>
        </w:rPr>
      </w:pPr>
    </w:p>
    <w:p w14:paraId="43864BEA">
      <w:pPr>
        <w:pStyle w:val="12"/>
      </w:pPr>
    </w:p>
    <w:p w14:paraId="7E6FF7E9">
      <w:pPr>
        <w:pStyle w:val="12"/>
        <w:rPr>
          <w:b/>
          <w:bCs/>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66040</wp:posOffset>
                </wp:positionV>
                <wp:extent cx="121285" cy="101600"/>
                <wp:effectExtent l="30480" t="3810" r="0" b="46990"/>
                <wp:wrapNone/>
                <wp:docPr id="659635518" name="等腰三角形 2"/>
                <wp:cNvGraphicFramePr/>
                <a:graphic xmlns:a="http://schemas.openxmlformats.org/drawingml/2006/main">
                  <a:graphicData uri="http://schemas.microsoft.com/office/word/2010/wordprocessingShape">
                    <wps:wsp>
                      <wps:cNvSpPr/>
                      <wps:spPr>
                        <a:xfrm rot="1808730">
                          <a:off x="0" y="0"/>
                          <a:ext cx="121184" cy="101424"/>
                        </a:xfrm>
                        <a:prstGeom prst="triangle">
                          <a:avLst/>
                        </a:prstGeom>
                        <a:solidFill>
                          <a:srgbClr val="000000"/>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2" o:spid="_x0000_s1026" o:spt="5" type="#_x0000_t5" style="position:absolute;left:0pt;margin-left:-11.6pt;margin-top:5.2pt;height:8pt;width:9.55pt;rotation:1975615f;z-index:251660288;v-text-anchor:middle;mso-width-relative:page;mso-height-relative:page;" fillcolor="#000000" filled="t" stroked="t" coordsize="21600,21600" o:gfxdata="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H+YyP9cA&#10;AAAIAQAADwAAAAAAAAABACAAAAAiAAAAZHJzL2Rvd25yZXYueG1sUEsBAhQAFAAAAAgAh07iQE9b&#10;h8iSAgAAJAUAAA4AAAAAAAAAAQAgAAAAJgEAAGRycy9lMm9Eb2MueG1sUEsFBgAAAAAGAAYAWQEA&#10;ACoGAAAAAA==&#10;" adj="10800">
                <v:fill on="t" focussize="0,0"/>
                <v:stroke weight="1pt" color="#000000" miterlimit="8" joinstyle="miter"/>
                <v:imagedata o:title=""/>
                <o:lock v:ext="edit" aspectratio="f"/>
              </v:shape>
            </w:pict>
          </mc:Fallback>
        </mc:AlternateContent>
      </w:r>
      <w:r>
        <w:rPr>
          <w:rFonts w:hint="eastAsia"/>
          <w:b/>
          <w:bCs/>
          <w:sz w:val="28"/>
          <w:szCs w:val="28"/>
        </w:rPr>
        <w:t>双抗体夹心模式图</w:t>
      </w:r>
    </w:p>
    <w:p w14:paraId="726EE053">
      <w:pPr>
        <w:pStyle w:val="12"/>
        <w:rPr>
          <w:rFonts w:ascii="微软雅黑" w:hAnsi="微软雅黑" w:eastAsia="微软雅黑" w:cs="Times New Roman"/>
          <w:sz w:val="28"/>
          <w:szCs w:val="28"/>
        </w:rPr>
      </w:pPr>
      <w:r>
        <w:rPr>
          <w:rFonts w:ascii="微软雅黑" w:hAnsi="微软雅黑" w:eastAsia="微软雅黑" w:cs="Times New Roman"/>
          <w:sz w:val="28"/>
          <w:szCs w:val="28"/>
        </w:rPr>
        <w:t>按操作顺序形成抗体夹</w:t>
      </w:r>
      <w:r>
        <w:rPr>
          <w:rFonts w:hint="eastAsia" w:ascii="微软雅黑" w:hAnsi="微软雅黑" w:eastAsia="微软雅黑" w:cs="Times New Roman"/>
          <w:sz w:val="28"/>
          <w:szCs w:val="28"/>
        </w:rPr>
        <w:t>心结构后，加入</w:t>
      </w:r>
      <w:r>
        <w:rPr>
          <w:rFonts w:ascii="微软雅黑" w:hAnsi="微软雅黑" w:eastAsia="微软雅黑" w:cs="Times New Roman"/>
          <w:sz w:val="28"/>
          <w:szCs w:val="28"/>
        </w:rPr>
        <w:t>TMB 底物，板孔液体由</w:t>
      </w:r>
      <w:r>
        <w:rPr>
          <w:rFonts w:hint="eastAsia" w:ascii="微软雅黑" w:hAnsi="微软雅黑" w:eastAsia="微软雅黑" w:cs="Times New Roman"/>
          <w:sz w:val="28"/>
          <w:szCs w:val="28"/>
        </w:rPr>
        <w:t>无色变成蓝色，再加入终止</w:t>
      </w:r>
      <w:r>
        <w:rPr>
          <w:rFonts w:ascii="微软雅黑" w:hAnsi="微软雅黑" w:eastAsia="微软雅黑" w:cs="Times New Roman"/>
          <w:sz w:val="28"/>
          <w:szCs w:val="28"/>
        </w:rPr>
        <w:t>液变为</w:t>
      </w:r>
      <w:r>
        <w:rPr>
          <w:rFonts w:hint="eastAsia" w:ascii="微软雅黑" w:hAnsi="微软雅黑" w:eastAsia="微软雅黑" w:cs="Times New Roman"/>
          <w:sz w:val="28"/>
          <w:szCs w:val="28"/>
        </w:rPr>
        <w:t>黄色后进行吸光度值测定</w:t>
      </w:r>
      <w:r>
        <w:rPr>
          <w:rFonts w:ascii="微软雅黑" w:hAnsi="微软雅黑" w:eastAsia="微软雅黑" w:cs="Times New Roman"/>
          <w:sz w:val="28"/>
          <w:szCs w:val="28"/>
        </w:rPr>
        <w:t>。</w:t>
      </w:r>
    </w:p>
    <w:p w14:paraId="44DD4E02">
      <w:pPr>
        <w:pStyle w:val="12"/>
      </w:pPr>
    </w:p>
    <w:p w14:paraId="7A67C63C">
      <w:pPr>
        <w:pStyle w:val="6"/>
        <w:rPr>
          <w:rFonts w:ascii="微软雅黑" w:hAnsi="微软雅黑" w:eastAsia="微软雅黑"/>
          <w:sz w:val="32"/>
        </w:rPr>
      </w:pPr>
      <w:bookmarkStart w:id="2" w:name="_Toc164420456"/>
    </w:p>
    <w:p w14:paraId="79819D5F">
      <w:pPr>
        <w:rPr>
          <w:rFonts w:ascii="微软雅黑" w:hAnsi="微软雅黑" w:eastAsia="微软雅黑"/>
          <w:sz w:val="32"/>
          <w:szCs w:val="32"/>
        </w:rPr>
      </w:pPr>
    </w:p>
    <w:p w14:paraId="2113596A">
      <w:pPr>
        <w:pStyle w:val="6"/>
        <w:rPr>
          <w:rFonts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检测实验的局限性</w:t>
      </w:r>
      <w:bookmarkEnd w:id="2"/>
    </w:p>
    <w:p w14:paraId="1F5C56F2">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仅供科研使用，不能用于临床诊断或治疗。</w:t>
      </w:r>
    </w:p>
    <w:p w14:paraId="22EA72D7">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试剂盒的使用期限不得超过试剂盒标签上的有效期。不要将试剂与其他批次或来源的试剂混合使用或替换使用。</w:t>
      </w:r>
    </w:p>
    <w:p w14:paraId="0EE252A9">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如果样品产生的值高于最高标准，则用测定稀释剂进一步稀释样品，并重复测定。稀释剂、实验员、移液技术、洗涤技术、培养时间或温度以及试剂盒使用年限的任何变化都可能导致结合变化。</w:t>
      </w:r>
    </w:p>
    <w:p w14:paraId="4040C6C5">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样本采集、处理和存储的变化可能会导致样本值的差异。</w:t>
      </w:r>
    </w:p>
    <w:p w14:paraId="377AA238">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本试剂盒实验设计消除了不同生物样品中可能潜在的干扰因素的影响，但并不能涵盖所有潜在影响因素。不能排除存在其他干扰的可能性。</w:t>
      </w:r>
      <w:bookmarkStart w:id="3" w:name="_Toc164420457"/>
    </w:p>
    <w:p w14:paraId="2B56D616">
      <w:pPr>
        <w:pStyle w:val="12"/>
      </w:pPr>
    </w:p>
    <w:p w14:paraId="23D31A70">
      <w:pPr>
        <w:pStyle w:val="12"/>
      </w:pPr>
    </w:p>
    <w:p w14:paraId="2EDF5E00">
      <w:pPr>
        <w:pStyle w:val="6"/>
        <w:rPr>
          <w:rFonts w:ascii="微软雅黑" w:hAnsi="微软雅黑" w:eastAsia="微软雅黑"/>
          <w:sz w:val="32"/>
        </w:rPr>
      </w:pPr>
      <w:r>
        <w:rPr>
          <w:rFonts w:hint="eastAsia" w:ascii="微软雅黑" w:hAnsi="微软雅黑" w:eastAsia="微软雅黑"/>
          <w:sz w:val="32"/>
        </w:rPr>
        <w:t>操作要点</w:t>
      </w:r>
      <w:bookmarkEnd w:id="3"/>
      <w:r>
        <w:rPr>
          <w:rFonts w:ascii="微软雅黑" w:hAnsi="微软雅黑" w:eastAsia="微软雅黑"/>
          <w:sz w:val="32"/>
        </w:rPr>
        <w:t xml:space="preserve"> </w:t>
      </w:r>
    </w:p>
    <w:p w14:paraId="6A954FCD">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混合蛋白质溶液时，应始终避免起泡。为了避免交叉污染，在添加每个标准品、样品和试剂时应更换移液器枪头。此外，每种试剂应单独使用容器。</w:t>
      </w:r>
    </w:p>
    <w:p w14:paraId="5FD0F520">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确保试剂不间断地添加到板孔中。为了确保准确的结果，在孵育步骤中需要粘合好封板膜。</w:t>
      </w:r>
    </w:p>
    <w:p w14:paraId="34D4A1F2">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当使用自动洗板机时，在加入洗涤缓冲液后加入</w:t>
      </w:r>
      <w:r>
        <w:rPr>
          <w:rFonts w:ascii="微软雅黑" w:hAnsi="微软雅黑" w:eastAsia="微软雅黑"/>
          <w:color w:val="000000"/>
          <w:sz w:val="32"/>
          <w:szCs w:val="32"/>
        </w:rPr>
        <w:t>30</w:t>
      </w:r>
      <w:r>
        <w:rPr>
          <w:rFonts w:hint="eastAsia" w:ascii="微软雅黑" w:hAnsi="微软雅黑" w:eastAsia="微软雅黑"/>
          <w:color w:val="000000"/>
          <w:sz w:val="32"/>
          <w:szCs w:val="32"/>
        </w:rPr>
        <w:t>秒的浸泡期，或者在洗涤步骤之间将板旋转</w:t>
      </w:r>
      <w:r>
        <w:rPr>
          <w:rFonts w:ascii="微软雅黑" w:hAnsi="微软雅黑" w:eastAsia="微软雅黑"/>
          <w:color w:val="000000"/>
          <w:sz w:val="32"/>
          <w:szCs w:val="32"/>
        </w:rPr>
        <w:t>180</w:t>
      </w:r>
      <w:r>
        <w:rPr>
          <w:rFonts w:hint="eastAsia" w:ascii="微软雅黑" w:hAnsi="微软雅黑" w:eastAsia="微软雅黑"/>
          <w:color w:val="000000"/>
          <w:sz w:val="32"/>
          <w:szCs w:val="32"/>
        </w:rPr>
        <w:t>度，可以提高测定精度。</w:t>
      </w:r>
    </w:p>
    <w:p w14:paraId="076F331C">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显色剂应保持无色，直到添加到板中。确保显色剂不受光线照射。显色剂应从无色变为蓝色。</w:t>
      </w:r>
    </w:p>
    <w:p w14:paraId="27E91D4F">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应按照与显色剂相同的顺序将终止液添加到板中。加入终止液后，孔中形成的颜色将从蓝色变为黄色。绿色的孔表示终止液未与基质溶液充分混合。</w:t>
      </w:r>
      <w:bookmarkStart w:id="4" w:name="_Toc164420458"/>
    </w:p>
    <w:p w14:paraId="40C6BFC4">
      <w:pPr>
        <w:pStyle w:val="6"/>
        <w:rPr>
          <w:rFonts w:ascii="微软雅黑" w:hAnsi="微软雅黑" w:eastAsia="微软雅黑"/>
          <w:sz w:val="32"/>
        </w:rPr>
      </w:pPr>
      <w:r>
        <w:rPr>
          <w:rFonts w:hint="eastAsia" w:ascii="微软雅黑" w:hAnsi="微软雅黑" w:eastAsia="微软雅黑"/>
          <w:sz w:val="32"/>
        </w:rPr>
        <w:t>试剂盒组成及储存条件</w:t>
      </w:r>
      <w:bookmarkEnd w:id="4"/>
    </w:p>
    <w:p w14:paraId="33C56EDE">
      <w:pPr>
        <w:rPr>
          <w:sz w:val="28"/>
          <w:szCs w:val="28"/>
        </w:rPr>
      </w:pPr>
    </w:p>
    <w:tbl>
      <w:tblPr>
        <w:tblStyle w:val="7"/>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1D9F6789">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FFFFFF"/>
            <w:vAlign w:val="center"/>
          </w:tcPr>
          <w:p w14:paraId="743AB514">
            <w:pPr>
              <w:jc w:val="center"/>
              <w:rPr>
                <w:rFonts w:ascii="微软雅黑" w:hAnsi="微软雅黑" w:eastAsia="微软雅黑"/>
                <w:bCs/>
                <w:color w:val="000000"/>
                <w:sz w:val="28"/>
                <w:szCs w:val="28"/>
              </w:rPr>
            </w:pPr>
            <w:r>
              <w:rPr>
                <w:rFonts w:hint="eastAsia" w:ascii="微软雅黑" w:hAnsi="微软雅黑" w:eastAsia="微软雅黑"/>
                <w:bCs/>
                <w:color w:val="000000"/>
                <w:sz w:val="28"/>
                <w:szCs w:val="28"/>
              </w:rPr>
              <w:t>名</w:t>
            </w:r>
            <w:r>
              <w:rPr>
                <w:rFonts w:ascii="微软雅黑" w:hAnsi="微软雅黑" w:eastAsia="微软雅黑"/>
                <w:bCs/>
                <w:color w:val="000000"/>
                <w:sz w:val="28"/>
                <w:szCs w:val="28"/>
              </w:rPr>
              <w:t xml:space="preserve"> </w:t>
            </w:r>
            <w:r>
              <w:rPr>
                <w:rFonts w:hint="eastAsia" w:ascii="微软雅黑" w:hAnsi="微软雅黑" w:eastAsia="微软雅黑"/>
                <w:bCs/>
                <w:color w:val="000000"/>
                <w:sz w:val="28"/>
                <w:szCs w:val="28"/>
              </w:rPr>
              <w:t>称</w:t>
            </w:r>
          </w:p>
        </w:tc>
        <w:tc>
          <w:tcPr>
            <w:tcW w:w="2410" w:type="dxa"/>
            <w:shd w:val="clear" w:color="auto" w:fill="FFFFFF"/>
            <w:vAlign w:val="center"/>
          </w:tcPr>
          <w:p w14:paraId="26C95B4C">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48T</w:t>
            </w:r>
            <w:r>
              <w:rPr>
                <w:rFonts w:hint="eastAsia" w:ascii="微软雅黑" w:hAnsi="微软雅黑" w:eastAsia="微软雅黑"/>
                <w:bCs/>
                <w:color w:val="000000"/>
                <w:spacing w:val="28"/>
                <w:sz w:val="28"/>
                <w:szCs w:val="28"/>
              </w:rPr>
              <w:t>）</w:t>
            </w:r>
          </w:p>
        </w:tc>
        <w:tc>
          <w:tcPr>
            <w:tcW w:w="2409" w:type="dxa"/>
            <w:shd w:val="clear" w:color="auto" w:fill="FFFFFF"/>
            <w:vAlign w:val="center"/>
          </w:tcPr>
          <w:p w14:paraId="58296EF7">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96T</w:t>
            </w:r>
            <w:r>
              <w:rPr>
                <w:rFonts w:hint="eastAsia" w:ascii="微软雅黑" w:hAnsi="微软雅黑" w:eastAsia="微软雅黑"/>
                <w:bCs/>
                <w:color w:val="000000"/>
                <w:spacing w:val="28"/>
                <w:sz w:val="28"/>
                <w:szCs w:val="28"/>
              </w:rPr>
              <w:t>）</w:t>
            </w:r>
          </w:p>
        </w:tc>
        <w:tc>
          <w:tcPr>
            <w:tcW w:w="3387" w:type="dxa"/>
            <w:shd w:val="clear" w:color="auto" w:fill="FFFFFF"/>
            <w:vAlign w:val="center"/>
          </w:tcPr>
          <w:p w14:paraId="23C8DA6A">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储存条件</w:t>
            </w:r>
          </w:p>
        </w:tc>
      </w:tr>
      <w:tr w14:paraId="71B7D375">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2010853">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预包被酶标板</w:t>
            </w:r>
          </w:p>
        </w:tc>
        <w:tc>
          <w:tcPr>
            <w:tcW w:w="2410" w:type="dxa"/>
            <w:vAlign w:val="center"/>
          </w:tcPr>
          <w:p w14:paraId="1246234B">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条</w:t>
            </w:r>
          </w:p>
        </w:tc>
        <w:tc>
          <w:tcPr>
            <w:tcW w:w="2409" w:type="dxa"/>
            <w:vAlign w:val="center"/>
          </w:tcPr>
          <w:p w14:paraId="7576C359">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12</w:t>
            </w:r>
            <w:r>
              <w:rPr>
                <w:rFonts w:hint="eastAsia" w:ascii="微软雅黑" w:hAnsi="微软雅黑" w:eastAsia="微软雅黑"/>
                <w:bCs/>
                <w:color w:val="000000"/>
                <w:spacing w:val="28"/>
                <w:sz w:val="28"/>
                <w:szCs w:val="28"/>
              </w:rPr>
              <w:t>条</w:t>
            </w:r>
          </w:p>
        </w:tc>
        <w:tc>
          <w:tcPr>
            <w:tcW w:w="3387" w:type="dxa"/>
            <w:vAlign w:val="center"/>
          </w:tcPr>
          <w:p w14:paraId="17694CF6">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未用完的酶标板密封干燥保存可于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个月。</w:t>
            </w:r>
          </w:p>
        </w:tc>
      </w:tr>
      <w:tr w14:paraId="33EE9CBA">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E14FBBE">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标准品</w:t>
            </w:r>
          </w:p>
        </w:tc>
        <w:tc>
          <w:tcPr>
            <w:tcW w:w="2410" w:type="dxa"/>
            <w:vAlign w:val="center"/>
          </w:tcPr>
          <w:p w14:paraId="3DB543D2">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支×10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22DC2C16">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支×20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6F83E885">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每次测试按需配置标准品，剩余置于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7D158841">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01F79F6">
            <w:pPr>
              <w:ind w:left="128" w:leftChars="61"/>
              <w:rPr>
                <w:rFonts w:ascii="微软雅黑" w:hAnsi="微软雅黑" w:eastAsia="微软雅黑"/>
                <w:color w:val="000000"/>
                <w:spacing w:val="28"/>
                <w:sz w:val="28"/>
                <w:szCs w:val="28"/>
              </w:rPr>
            </w:pP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×生物素化抗体</w:t>
            </w:r>
          </w:p>
        </w:tc>
        <w:tc>
          <w:tcPr>
            <w:tcW w:w="2410" w:type="dxa"/>
            <w:vAlign w:val="center"/>
          </w:tcPr>
          <w:p w14:paraId="0671577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50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3EDC737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3F355008">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每次测试按需配置抗体工作液，剩余置于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18B983C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4AE4A0A">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100×SA-HRP</w:t>
            </w:r>
          </w:p>
        </w:tc>
        <w:tc>
          <w:tcPr>
            <w:tcW w:w="2410" w:type="dxa"/>
            <w:vAlign w:val="center"/>
          </w:tcPr>
          <w:p w14:paraId="3EE7407B">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1支×50μL</w:t>
            </w:r>
          </w:p>
        </w:tc>
        <w:tc>
          <w:tcPr>
            <w:tcW w:w="2409" w:type="dxa"/>
            <w:vAlign w:val="center"/>
          </w:tcPr>
          <w:p w14:paraId="1DD9E2E7">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1支×100μL</w:t>
            </w:r>
          </w:p>
        </w:tc>
        <w:tc>
          <w:tcPr>
            <w:tcW w:w="3387" w:type="dxa"/>
            <w:vAlign w:val="center"/>
          </w:tcPr>
          <w:p w14:paraId="1C6749C6">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每次测试按需配置酶结合物工作液，剩余置于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℃储存至多6个月。</w:t>
            </w:r>
          </w:p>
        </w:tc>
      </w:tr>
      <w:tr w14:paraId="41A4C18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CD45E1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×浓缩稀释液</w:t>
            </w:r>
          </w:p>
        </w:tc>
        <w:tc>
          <w:tcPr>
            <w:tcW w:w="2410" w:type="dxa"/>
            <w:vAlign w:val="center"/>
          </w:tcPr>
          <w:p w14:paraId="1A42F8B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28BE78B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restart"/>
            <w:vAlign w:val="center"/>
          </w:tcPr>
          <w:p w14:paraId="113460B9">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置于2-8℃可保存至有效期末。</w:t>
            </w:r>
          </w:p>
        </w:tc>
      </w:tr>
      <w:tr w14:paraId="3E41E041">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5114542">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A</w:t>
            </w:r>
          </w:p>
        </w:tc>
        <w:tc>
          <w:tcPr>
            <w:tcW w:w="2410" w:type="dxa"/>
            <w:vAlign w:val="center"/>
          </w:tcPr>
          <w:p w14:paraId="48EF103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1CE1834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DAC25CC">
            <w:pPr>
              <w:rPr>
                <w:rFonts w:ascii="微软雅黑" w:hAnsi="微软雅黑" w:eastAsia="微软雅黑"/>
                <w:bCs/>
                <w:color w:val="000000"/>
                <w:spacing w:val="28"/>
                <w:sz w:val="28"/>
                <w:szCs w:val="28"/>
              </w:rPr>
            </w:pPr>
          </w:p>
        </w:tc>
      </w:tr>
      <w:tr w14:paraId="5A95AC3A">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ACA6899">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B</w:t>
            </w:r>
          </w:p>
        </w:tc>
        <w:tc>
          <w:tcPr>
            <w:tcW w:w="2410" w:type="dxa"/>
            <w:vAlign w:val="center"/>
          </w:tcPr>
          <w:p w14:paraId="7CCCD53B">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432A4DBD">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60F87A1">
            <w:pPr>
              <w:rPr>
                <w:rFonts w:ascii="微软雅黑" w:hAnsi="微软雅黑" w:eastAsia="微软雅黑"/>
                <w:bCs/>
                <w:color w:val="000000"/>
                <w:spacing w:val="28"/>
                <w:sz w:val="28"/>
                <w:szCs w:val="28"/>
              </w:rPr>
            </w:pPr>
          </w:p>
        </w:tc>
      </w:tr>
      <w:tr w14:paraId="17D70FB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B47A9D0">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终止液</w:t>
            </w:r>
          </w:p>
        </w:tc>
        <w:tc>
          <w:tcPr>
            <w:tcW w:w="2410" w:type="dxa"/>
            <w:vAlign w:val="center"/>
          </w:tcPr>
          <w:p w14:paraId="5FEA647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6AB4C7E6">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2A4F90A4">
            <w:pPr>
              <w:rPr>
                <w:rFonts w:ascii="微软雅黑" w:hAnsi="微软雅黑" w:eastAsia="微软雅黑"/>
                <w:bCs/>
                <w:color w:val="000000"/>
                <w:spacing w:val="28"/>
                <w:sz w:val="28"/>
                <w:szCs w:val="28"/>
              </w:rPr>
            </w:pPr>
          </w:p>
        </w:tc>
      </w:tr>
      <w:tr w14:paraId="10EB8165">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419E97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×浓缩洗涤液</w:t>
            </w:r>
          </w:p>
        </w:tc>
        <w:tc>
          <w:tcPr>
            <w:tcW w:w="2410" w:type="dxa"/>
            <w:vAlign w:val="center"/>
          </w:tcPr>
          <w:p w14:paraId="255E7211">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04CABF44">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continue"/>
            <w:vAlign w:val="center"/>
          </w:tcPr>
          <w:p w14:paraId="2BD2F0F2">
            <w:pPr>
              <w:rPr>
                <w:rFonts w:ascii="微软雅黑" w:hAnsi="微软雅黑" w:eastAsia="微软雅黑"/>
                <w:color w:val="000000"/>
                <w:sz w:val="28"/>
                <w:szCs w:val="28"/>
              </w:rPr>
            </w:pPr>
          </w:p>
        </w:tc>
      </w:tr>
      <w:tr w14:paraId="54343F7E">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BFFA5D8">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封板胶纸</w:t>
            </w:r>
          </w:p>
        </w:tc>
        <w:tc>
          <w:tcPr>
            <w:tcW w:w="2410" w:type="dxa"/>
            <w:vAlign w:val="center"/>
          </w:tcPr>
          <w:p w14:paraId="21FD54D4">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2409" w:type="dxa"/>
            <w:vAlign w:val="center"/>
          </w:tcPr>
          <w:p w14:paraId="759876F1">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3387" w:type="dxa"/>
            <w:vMerge w:val="continue"/>
            <w:vAlign w:val="center"/>
          </w:tcPr>
          <w:p w14:paraId="5CA34AAB">
            <w:pPr>
              <w:rPr>
                <w:rFonts w:ascii="微软雅黑" w:hAnsi="微软雅黑" w:eastAsia="微软雅黑"/>
                <w:color w:val="000000"/>
                <w:sz w:val="28"/>
                <w:szCs w:val="28"/>
              </w:rPr>
            </w:pPr>
          </w:p>
        </w:tc>
      </w:tr>
      <w:tr w14:paraId="77F5402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0105E74">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产品说明书</w:t>
            </w:r>
          </w:p>
        </w:tc>
        <w:tc>
          <w:tcPr>
            <w:tcW w:w="2410" w:type="dxa"/>
            <w:vAlign w:val="center"/>
          </w:tcPr>
          <w:p w14:paraId="1EAA70E3">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2409" w:type="dxa"/>
            <w:vAlign w:val="center"/>
          </w:tcPr>
          <w:p w14:paraId="1AFD9982">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3387" w:type="dxa"/>
            <w:vMerge w:val="continue"/>
            <w:vAlign w:val="center"/>
          </w:tcPr>
          <w:p w14:paraId="540768CF">
            <w:pPr>
              <w:rPr>
                <w:rFonts w:ascii="微软雅黑" w:hAnsi="微软雅黑" w:eastAsia="微软雅黑"/>
                <w:color w:val="000000"/>
                <w:sz w:val="28"/>
                <w:szCs w:val="28"/>
              </w:rPr>
            </w:pPr>
          </w:p>
        </w:tc>
      </w:tr>
    </w:tbl>
    <w:p w14:paraId="48D75615">
      <w:pPr>
        <w:pStyle w:val="6"/>
        <w:rPr>
          <w:rFonts w:ascii="微软雅黑" w:hAnsi="微软雅黑" w:eastAsia="微软雅黑"/>
          <w:sz w:val="32"/>
        </w:rPr>
      </w:pPr>
      <w:bookmarkStart w:id="5" w:name="_Toc164420459"/>
      <w:r>
        <w:rPr>
          <w:rFonts w:hint="eastAsia" w:ascii="微软雅黑" w:hAnsi="微软雅黑" w:eastAsia="微软雅黑"/>
          <w:sz w:val="32"/>
        </w:rPr>
        <w:t>需要的其他材料</w:t>
      </w:r>
      <w:bookmarkEnd w:id="5"/>
    </w:p>
    <w:p w14:paraId="1ADA70F8">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酶标仪，包含</w:t>
      </w:r>
      <w:r>
        <w:rPr>
          <w:rFonts w:ascii="微软雅黑" w:hAnsi="微软雅黑" w:eastAsia="微软雅黑" w:cs="Times New Roman"/>
          <w:sz w:val="32"/>
          <w:szCs w:val="32"/>
        </w:rPr>
        <w:t>450nm</w:t>
      </w:r>
      <w:r>
        <w:rPr>
          <w:rFonts w:hint="eastAsia" w:ascii="微软雅黑" w:hAnsi="微软雅黑" w:eastAsia="微软雅黑" w:cs="Times New Roman"/>
          <w:sz w:val="32"/>
          <w:szCs w:val="32"/>
        </w:rPr>
        <w:t>测定波长，同时包含</w:t>
      </w:r>
      <w:r>
        <w:rPr>
          <w:rFonts w:ascii="微软雅黑" w:hAnsi="微软雅黑" w:eastAsia="微软雅黑" w:cs="Times New Roman"/>
          <w:sz w:val="32"/>
          <w:szCs w:val="32"/>
        </w:rPr>
        <w:t>600-680nm</w:t>
      </w:r>
      <w:r>
        <w:rPr>
          <w:rFonts w:hint="eastAsia" w:ascii="微软雅黑" w:hAnsi="微软雅黑" w:eastAsia="微软雅黑" w:cs="Times New Roman"/>
          <w:sz w:val="32"/>
          <w:szCs w:val="32"/>
        </w:rPr>
        <w:t>校正波长更佳；</w:t>
      </w:r>
    </w:p>
    <w:p w14:paraId="08FD3964">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移液器及枪头；</w:t>
      </w:r>
    </w:p>
    <w:p w14:paraId="712362CF">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蒸馏水或去离子水</w:t>
      </w:r>
    </w:p>
    <w:p w14:paraId="65C7FE77">
      <w:pPr>
        <w:pStyle w:val="12"/>
        <w:numPr>
          <w:ilvl w:val="0"/>
          <w:numId w:val="1"/>
        </w:numPr>
        <w:rPr>
          <w:rFonts w:ascii="微软雅黑" w:hAnsi="微软雅黑" w:eastAsia="微软雅黑" w:cs="Times New Roman"/>
          <w:sz w:val="32"/>
          <w:szCs w:val="32"/>
        </w:rPr>
      </w:pPr>
      <w:r>
        <w:rPr>
          <w:rFonts w:ascii="微软雅黑" w:hAnsi="微软雅黑" w:eastAsia="微软雅黑" w:cs="Times New Roman"/>
          <w:sz w:val="32"/>
          <w:szCs w:val="32"/>
        </w:rPr>
        <w:t>100-1000 mL</w:t>
      </w:r>
      <w:r>
        <w:rPr>
          <w:rFonts w:hint="eastAsia" w:ascii="微软雅黑" w:hAnsi="微软雅黑" w:eastAsia="微软雅黑" w:cs="Times New Roman"/>
          <w:sz w:val="32"/>
          <w:szCs w:val="32"/>
        </w:rPr>
        <w:t>刻度量筒。</w:t>
      </w:r>
    </w:p>
    <w:p w14:paraId="5B136DCA">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洗瓶、排枪或自动微孔板清洗机。</w:t>
      </w:r>
    </w:p>
    <w:p w14:paraId="5F954B47">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水平轨道微孔板振荡器，能够保持</w:t>
      </w:r>
      <w:r>
        <w:rPr>
          <w:rFonts w:ascii="微软雅黑" w:hAnsi="微软雅黑" w:eastAsia="微软雅黑" w:cs="Times New Roman"/>
          <w:sz w:val="32"/>
          <w:szCs w:val="32"/>
        </w:rPr>
        <w:t>500</w:t>
      </w:r>
      <w:r>
        <w:rPr>
          <w:rFonts w:hint="eastAsia" w:ascii="微软雅黑" w:hAnsi="微软雅黑" w:eastAsia="微软雅黑" w:cs="Times New Roman"/>
          <w:sz w:val="32"/>
          <w:szCs w:val="32"/>
        </w:rPr>
        <w:t>±</w:t>
      </w:r>
      <w:r>
        <w:rPr>
          <w:rFonts w:ascii="微软雅黑" w:hAnsi="微软雅黑" w:eastAsia="微软雅黑" w:cs="Times New Roman"/>
          <w:sz w:val="32"/>
          <w:szCs w:val="32"/>
        </w:rPr>
        <w:t>50 rpm</w:t>
      </w:r>
      <w:r>
        <w:rPr>
          <w:rFonts w:hint="eastAsia" w:ascii="微软雅黑" w:hAnsi="微软雅黑" w:eastAsia="微软雅黑" w:cs="Times New Roman"/>
          <w:sz w:val="32"/>
          <w:szCs w:val="32"/>
        </w:rPr>
        <w:t>的速度。</w:t>
      </w:r>
    </w:p>
    <w:p w14:paraId="7DEA47FC">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用于稀释标准品和样品的试管。</w:t>
      </w:r>
    </w:p>
    <w:p w14:paraId="37A861B6">
      <w:pPr>
        <w:pStyle w:val="6"/>
        <w:rPr>
          <w:rFonts w:ascii="微软雅黑" w:hAnsi="微软雅黑" w:eastAsia="微软雅黑"/>
          <w:sz w:val="32"/>
        </w:rPr>
      </w:pPr>
      <w:bookmarkStart w:id="6" w:name="_Toc164420460"/>
      <w:r>
        <w:rPr>
          <w:rFonts w:hint="eastAsia" w:ascii="微软雅黑" w:hAnsi="微软雅黑" w:eastAsia="微软雅黑"/>
          <w:sz w:val="32"/>
        </w:rPr>
        <w:t>注意事项</w:t>
      </w:r>
      <w:bookmarkEnd w:id="6"/>
    </w:p>
    <w:p w14:paraId="17F420C7">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此试剂盒提供的终止液为稀硫酸溶液，具有一定腐蚀性，应谨慎操作。</w:t>
      </w:r>
    </w:p>
    <w:p w14:paraId="52C64430">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该试剂盒中的某些成分含有防腐剂，可能会引起皮肤过敏反应，应佩带口罩避免吸入薄雾。</w:t>
      </w:r>
    </w:p>
    <w:p w14:paraId="0294ADD1">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w:t>
      </w:r>
      <w:r>
        <w:rPr>
          <w:rFonts w:ascii="微软雅黑" w:hAnsi="微软雅黑" w:eastAsia="微软雅黑"/>
          <w:color w:val="000000"/>
          <w:sz w:val="32"/>
          <w:szCs w:val="32"/>
        </w:rPr>
        <w:t>B</w:t>
      </w:r>
      <w:r>
        <w:rPr>
          <w:rFonts w:hint="eastAsia" w:ascii="微软雅黑" w:hAnsi="微软雅黑" w:eastAsia="微软雅黑"/>
          <w:color w:val="000000"/>
          <w:sz w:val="32"/>
          <w:szCs w:val="32"/>
        </w:rPr>
        <w:t>可能会引起皮肤、眼睛和呼吸道刺激，应佩带口罩避免吸入薄雾。</w:t>
      </w:r>
    </w:p>
    <w:p w14:paraId="3D6C5257">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佩戴防护手套、防护服、眼睛和面部防护用品。处理后彻底洗手。</w:t>
      </w:r>
    </w:p>
    <w:p w14:paraId="4162D5F6">
      <w:pPr>
        <w:pStyle w:val="6"/>
        <w:rPr>
          <w:rFonts w:ascii="微软雅黑" w:hAnsi="微软雅黑" w:eastAsia="微软雅黑"/>
          <w:sz w:val="32"/>
        </w:rPr>
      </w:pPr>
      <w:bookmarkStart w:id="7" w:name="_Toc164420461"/>
      <w:r>
        <w:rPr>
          <w:rFonts w:hint="eastAsia" w:ascii="微软雅黑" w:hAnsi="微软雅黑" w:eastAsia="微软雅黑"/>
          <w:sz w:val="32"/>
        </w:rPr>
        <w:t>样品</w:t>
      </w:r>
      <w:bookmarkEnd w:id="7"/>
      <w:r>
        <w:rPr>
          <w:rFonts w:hint="eastAsia" w:ascii="微软雅黑" w:hAnsi="微软雅黑" w:eastAsia="微软雅黑"/>
          <w:sz w:val="32"/>
        </w:rPr>
        <w:t>预处理</w:t>
      </w:r>
    </w:p>
    <w:p w14:paraId="5D163CCB">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下面列出的样品收集和储存条件旨在作为一般性指导。样品稳定性尚未评估。</w:t>
      </w:r>
    </w:p>
    <w:p w14:paraId="47BD5C19">
      <w:pPr>
        <w:pStyle w:val="16"/>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细胞培养上清液</w:t>
      </w:r>
      <w:r>
        <w:rPr>
          <w:rFonts w:hint="eastAsia" w:ascii="微软雅黑" w:hAnsi="微软雅黑" w:eastAsia="微软雅黑"/>
          <w:color w:val="000000"/>
          <w:sz w:val="32"/>
          <w:szCs w:val="32"/>
        </w:rPr>
        <w:t>：在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分钟去除颗粒，立即进行测定或等分装样品，并将样品储存在≤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p>
    <w:p w14:paraId="24DBCA4F">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血清</w:t>
      </w:r>
      <w:r>
        <w:rPr>
          <w:rFonts w:hint="eastAsia" w:ascii="微软雅黑" w:hAnsi="微软雅黑" w:eastAsia="微软雅黑"/>
          <w:color w:val="000000"/>
          <w:sz w:val="32"/>
          <w:szCs w:val="32"/>
        </w:rPr>
        <w:t>：使用血清分离管，使样品在室温下凝结</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分钟，然后在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分钟。立即取出血清并进行测定或等分装样品，将样品储存在≤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由于基质效应，血清样品建议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6AAD6C66">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血浆</w:t>
      </w:r>
      <w:r>
        <w:rPr>
          <w:rFonts w:hint="eastAsia" w:ascii="微软雅黑" w:hAnsi="微软雅黑" w:eastAsia="微软雅黑"/>
          <w:color w:val="000000"/>
          <w:sz w:val="32"/>
          <w:szCs w:val="32"/>
        </w:rPr>
        <w:t>：使用</w:t>
      </w:r>
      <w:r>
        <w:rPr>
          <w:rFonts w:ascii="微软雅黑" w:hAnsi="微软雅黑" w:eastAsia="微软雅黑"/>
          <w:color w:val="000000"/>
          <w:sz w:val="32"/>
          <w:szCs w:val="32"/>
        </w:rPr>
        <w:t>EDTA</w:t>
      </w:r>
      <w:r>
        <w:rPr>
          <w:rFonts w:hint="eastAsia" w:ascii="微软雅黑" w:hAnsi="微软雅黑" w:eastAsia="微软雅黑"/>
          <w:color w:val="000000"/>
          <w:sz w:val="32"/>
          <w:szCs w:val="32"/>
        </w:rPr>
        <w:t>或肝素作为抗凝剂收集血浆。收集后</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分钟内，以</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由于基质效应，血浆样品建议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27B25E29">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注：柠檬酸盐抗凝剂血浆未经验证可用于本试验，使用时应自行验证可行性。溶血的样品不适合用于该测定。</w:t>
      </w:r>
    </w:p>
    <w:p w14:paraId="08BCF10F">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组织匀浆：</w:t>
      </w:r>
      <w:r>
        <w:rPr>
          <w:rFonts w:hint="eastAsia" w:ascii="微软雅黑" w:hAnsi="微软雅黑" w:eastAsia="微软雅黑"/>
          <w:color w:val="000000"/>
          <w:sz w:val="32"/>
          <w:szCs w:val="32"/>
        </w:rPr>
        <w:t>用预冷的</w:t>
      </w:r>
      <w:r>
        <w:rPr>
          <w:rFonts w:ascii="微软雅黑" w:hAnsi="微软雅黑" w:eastAsia="微软雅黑"/>
          <w:color w:val="000000"/>
          <w:sz w:val="32"/>
          <w:szCs w:val="32"/>
        </w:rPr>
        <w:t>PBS(0.01M,pH=7.4)</w:t>
      </w:r>
      <w:r>
        <w:rPr>
          <w:rFonts w:hint="eastAsia" w:ascii="微软雅黑" w:hAnsi="微软雅黑" w:eastAsia="微软雅黑"/>
          <w:color w:val="000000"/>
          <w:sz w:val="32"/>
          <w:szCs w:val="32"/>
        </w:rPr>
        <w:t>冲洗组织，去除残留血液（匀浆中裂解的红细胞会影响检测结果），称重后将组织剪碎。将剪碎的组织与对应体积的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（一般按</w:t>
      </w:r>
      <w:r>
        <w:rPr>
          <w:rFonts w:ascii="微软雅黑" w:hAnsi="微软雅黑" w:eastAsia="微软雅黑"/>
          <w:color w:val="000000"/>
          <w:sz w:val="32"/>
          <w:szCs w:val="32"/>
        </w:rPr>
        <w:t>1:9</w:t>
      </w:r>
      <w:r>
        <w:rPr>
          <w:rFonts w:hint="eastAsia" w:ascii="微软雅黑" w:hAnsi="微软雅黑" w:eastAsia="微软雅黑"/>
          <w:color w:val="000000"/>
          <w:sz w:val="32"/>
          <w:szCs w:val="32"/>
        </w:rPr>
        <w:t>的重量体积比，比如</w:t>
      </w:r>
      <w:r>
        <w:rPr>
          <w:rFonts w:ascii="微软雅黑" w:hAnsi="微软雅黑" w:eastAsia="微软雅黑"/>
          <w:color w:val="000000"/>
          <w:sz w:val="32"/>
          <w:szCs w:val="32"/>
        </w:rPr>
        <w:t>1g</w:t>
      </w:r>
      <w:r>
        <w:rPr>
          <w:rFonts w:hint="eastAsia" w:ascii="微软雅黑" w:hAnsi="微软雅黑" w:eastAsia="微软雅黑"/>
          <w:color w:val="000000"/>
          <w:sz w:val="32"/>
          <w:szCs w:val="32"/>
        </w:rPr>
        <w:t>的组织样品对应</w:t>
      </w:r>
      <w:r>
        <w:rPr>
          <w:rFonts w:ascii="微软雅黑" w:hAnsi="微软雅黑" w:eastAsia="微软雅黑"/>
          <w:color w:val="000000"/>
          <w:sz w:val="32"/>
          <w:szCs w:val="32"/>
        </w:rPr>
        <w:t>9mL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，具体体积可根据实验需要适当调整，并做好记录。推荐在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32"/>
          <w:szCs w:val="32"/>
        </w:rPr>
        <w:t>5000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5-10</w:t>
      </w:r>
      <w:r>
        <w:rPr>
          <w:rFonts w:hint="eastAsia" w:ascii="微软雅黑" w:hAnsi="微软雅黑" w:eastAsia="微软雅黑"/>
          <w:color w:val="000000"/>
          <w:sz w:val="32"/>
          <w:szCs w:val="32"/>
        </w:rPr>
        <w:t>分钟，取上清检测。</w:t>
      </w:r>
    </w:p>
    <w:p w14:paraId="36232449">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细胞裂解液：</w:t>
      </w:r>
      <w:r>
        <w:rPr>
          <w:rFonts w:hint="eastAsia" w:ascii="微软雅黑" w:hAnsi="微软雅黑" w:eastAsia="微软雅黑"/>
          <w:color w:val="000000"/>
          <w:sz w:val="32"/>
          <w:szCs w:val="32"/>
        </w:rPr>
        <w:t>贴壁细胞用预冷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轻轻清洗，然后用胰蛋白酶消化，</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w:t>
      </w:r>
      <w:r>
        <w:rPr>
          <w:rFonts w:hint="eastAsia" w:ascii="微软雅黑" w:hAnsi="微软雅黑" w:eastAsia="微软雅黑"/>
          <w:color w:val="000000"/>
          <w:sz w:val="32"/>
          <w:szCs w:val="32"/>
        </w:rPr>
        <w:t>分钟后收集细胞；悬浮细胞可直接离心收集。收集的细胞用预冷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清洗</w:t>
      </w:r>
      <w:r>
        <w:rPr>
          <w:rFonts w:ascii="微软雅黑" w:hAnsi="微软雅黑" w:eastAsia="微软雅黑"/>
          <w:color w:val="000000"/>
          <w:sz w:val="32"/>
          <w:szCs w:val="32"/>
        </w:rPr>
        <w:t>3</w:t>
      </w:r>
      <w:r>
        <w:rPr>
          <w:rFonts w:hint="eastAsia" w:ascii="微软雅黑" w:hAnsi="微软雅黑" w:eastAsia="微软雅黑"/>
          <w:color w:val="000000"/>
          <w:sz w:val="32"/>
          <w:szCs w:val="32"/>
        </w:rPr>
        <w:t>次，每</w:t>
      </w:r>
      <w:r>
        <w:rPr>
          <w:rFonts w:ascii="微软雅黑" w:hAnsi="微软雅黑" w:eastAsia="微软雅黑"/>
          <w:color w:val="000000"/>
          <w:sz w:val="32"/>
          <w:szCs w:val="32"/>
        </w:rPr>
        <w:t>1</w:t>
      </w:r>
      <w:r>
        <w:rPr>
          <w:rFonts w:hint="eastAsia" w:ascii="微软雅黑" w:hAnsi="微软雅黑" w:eastAsia="微软雅黑"/>
          <w:color w:val="000000"/>
          <w:sz w:val="32"/>
          <w:szCs w:val="32"/>
        </w:rPr>
        <w:t>×</w:t>
      </w:r>
      <w:r>
        <w:rPr>
          <w:rFonts w:ascii="微软雅黑" w:hAnsi="微软雅黑" w:eastAsia="微软雅黑"/>
          <w:color w:val="000000"/>
          <w:sz w:val="32"/>
          <w:szCs w:val="32"/>
        </w:rPr>
        <w:t>10</w:t>
      </w:r>
      <w:r>
        <w:rPr>
          <w:rFonts w:ascii="微软雅黑" w:hAnsi="微软雅黑" w:eastAsia="微软雅黑"/>
          <w:color w:val="000000"/>
          <w:sz w:val="32"/>
          <w:szCs w:val="32"/>
          <w:vertAlign w:val="superscript"/>
        </w:rPr>
        <w:t>6</w:t>
      </w:r>
      <w:r>
        <w:rPr>
          <w:rFonts w:hint="eastAsia" w:ascii="微软雅黑" w:hAnsi="微软雅黑" w:eastAsia="微软雅黑"/>
          <w:color w:val="000000"/>
          <w:sz w:val="32"/>
          <w:szCs w:val="32"/>
        </w:rPr>
        <w:t>个细胞中加入</w:t>
      </w:r>
      <w:r>
        <w:rPr>
          <w:rFonts w:ascii="微软雅黑" w:hAnsi="微软雅黑" w:eastAsia="微软雅黑"/>
          <w:color w:val="000000"/>
          <w:sz w:val="32"/>
          <w:szCs w:val="32"/>
        </w:rPr>
        <w:t>150-200</w:t>
      </w:r>
      <w:r>
        <w:rPr>
          <w:rFonts w:hint="eastAsia" w:ascii="微软雅黑" w:hAnsi="微软雅黑" w:eastAsia="微软雅黑"/>
          <w:color w:val="000000"/>
          <w:sz w:val="32"/>
          <w:szCs w:val="32"/>
        </w:rPr>
        <w:t>μ</w:t>
      </w:r>
      <w:r>
        <w:rPr>
          <w:rFonts w:ascii="微软雅黑" w:hAnsi="微软雅黑" w:eastAsia="微软雅黑"/>
          <w:color w:val="000000"/>
          <w:sz w:val="32"/>
          <w:szCs w:val="32"/>
        </w:rPr>
        <w:t>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重悬（推荐在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中加入蛋白酶抑制剂；若含量很低可适当减少</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体积）并通过反复冻融或超声使细胞破碎。将提取液于</w:t>
      </w:r>
      <w:r>
        <w:rPr>
          <w:rFonts w:ascii="微软雅黑" w:hAnsi="微软雅黑" w:eastAsia="微软雅黑"/>
          <w:color w:val="000000"/>
          <w:sz w:val="32"/>
          <w:szCs w:val="32"/>
        </w:rPr>
        <w:t>2-8</w:t>
      </w:r>
      <w:r>
        <w:rPr>
          <w:rFonts w:hint="eastAsia" w:ascii="微软雅黑" w:hAnsi="微软雅黑" w:eastAsia="微软雅黑"/>
          <w:color w:val="000000"/>
          <w:sz w:val="32"/>
          <w:szCs w:val="32"/>
        </w:rPr>
        <w:t>℃，</w:t>
      </w:r>
      <w:r>
        <w:rPr>
          <w:rFonts w:ascii="微软雅黑" w:hAnsi="微软雅黑" w:eastAsia="微软雅黑"/>
          <w:color w:val="000000"/>
          <w:sz w:val="32"/>
          <w:szCs w:val="32"/>
        </w:rPr>
        <w:t>1500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10</w:t>
      </w:r>
      <w:r>
        <w:rPr>
          <w:rFonts w:hint="eastAsia" w:ascii="微软雅黑" w:hAnsi="微软雅黑" w:eastAsia="微软雅黑"/>
          <w:color w:val="000000"/>
          <w:sz w:val="32"/>
          <w:szCs w:val="32"/>
        </w:rPr>
        <w:t>分钟，取上清检测。</w:t>
      </w:r>
    </w:p>
    <w:p w14:paraId="7EEFE9C1">
      <w:pPr>
        <w:pStyle w:val="16"/>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其它样本类型：</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20</w:t>
      </w:r>
      <w:r>
        <w:rPr>
          <w:rFonts w:hint="eastAsia" w:ascii="微软雅黑" w:hAnsi="微软雅黑" w:eastAsia="微软雅黑"/>
          <w:color w:val="000000"/>
          <w:sz w:val="32"/>
          <w:szCs w:val="32"/>
        </w:rPr>
        <w:t>分钟，取上清即可检测。</w:t>
      </w:r>
      <w:bookmarkStart w:id="8" w:name="_Toc164420463"/>
    </w:p>
    <w:p w14:paraId="3FC28E6D">
      <w:pPr>
        <w:pStyle w:val="6"/>
        <w:rPr>
          <w:rFonts w:ascii="微软雅黑" w:hAnsi="微软雅黑" w:eastAsia="微软雅黑"/>
          <w:sz w:val="32"/>
        </w:rPr>
      </w:pPr>
      <w:r>
        <w:rPr>
          <w:rFonts w:hint="eastAsia" w:ascii="微软雅黑" w:hAnsi="微软雅黑" w:eastAsia="微软雅黑"/>
          <w:sz w:val="32"/>
        </w:rPr>
        <w:t>试剂准备</w:t>
      </w:r>
      <w:bookmarkEnd w:id="8"/>
    </w:p>
    <w:p w14:paraId="0581FB4D">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使用前将所有试剂置于室温平衡</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分钟左右。</w:t>
      </w:r>
    </w:p>
    <w:p w14:paraId="52591CEC">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洗涤液</w:t>
      </w:r>
      <w:r>
        <w:rPr>
          <w:rFonts w:ascii="微软雅黑" w:hAnsi="微软雅黑" w:eastAsia="微软雅黑"/>
          <w:b/>
          <w:color w:val="000000"/>
          <w:sz w:val="32"/>
          <w:szCs w:val="32"/>
        </w:rPr>
        <w:t>/</w:t>
      </w:r>
      <w:r>
        <w:rPr>
          <w:rFonts w:hint="eastAsia" w:ascii="微软雅黑" w:hAnsi="微软雅黑" w:eastAsia="微软雅黑"/>
          <w:b/>
          <w:color w:val="000000"/>
          <w:sz w:val="32"/>
          <w:szCs w:val="32"/>
        </w:rPr>
        <w:t>稀释液配置：</w:t>
      </w:r>
      <w:r>
        <w:rPr>
          <w:rFonts w:hint="eastAsia" w:ascii="微软雅黑" w:hAnsi="微软雅黑" w:eastAsia="微软雅黑"/>
          <w:color w:val="000000"/>
          <w:sz w:val="32"/>
          <w:szCs w:val="32"/>
        </w:rPr>
        <w:t>如果洗涤液</w:t>
      </w:r>
      <w:r>
        <w:rPr>
          <w:rFonts w:ascii="微软雅黑" w:hAnsi="微软雅黑" w:eastAsia="微软雅黑"/>
          <w:color w:val="000000"/>
          <w:sz w:val="32"/>
          <w:szCs w:val="32"/>
        </w:rPr>
        <w:t>/</w:t>
      </w:r>
      <w:r>
        <w:rPr>
          <w:rFonts w:hint="eastAsia" w:ascii="微软雅黑" w:hAnsi="微软雅黑" w:eastAsia="微软雅黑"/>
          <w:color w:val="000000"/>
          <w:sz w:val="32"/>
          <w:szCs w:val="32"/>
        </w:rPr>
        <w:t>稀释液（</w:t>
      </w:r>
      <w:r>
        <w:rPr>
          <w:rFonts w:ascii="微软雅黑" w:hAnsi="微软雅黑" w:eastAsia="微软雅黑"/>
          <w:color w:val="000000"/>
          <w:sz w:val="32"/>
          <w:szCs w:val="32"/>
        </w:rPr>
        <w:t>20</w:t>
      </w:r>
      <w:r>
        <w:rPr>
          <w:rFonts w:hint="eastAsia" w:ascii="微软雅黑" w:hAnsi="微软雅黑" w:eastAsia="微软雅黑"/>
          <w:color w:val="000000"/>
          <w:sz w:val="32"/>
          <w:szCs w:val="32"/>
        </w:rPr>
        <w:t>×）有晶体析出，需在</w:t>
      </w:r>
      <w:r>
        <w:rPr>
          <w:rFonts w:ascii="微软雅黑" w:hAnsi="微软雅黑" w:eastAsia="微软雅黑"/>
          <w:color w:val="000000"/>
          <w:sz w:val="32"/>
          <w:szCs w:val="32"/>
        </w:rPr>
        <w:t>37</w:t>
      </w:r>
      <w:r>
        <w:rPr>
          <w:rFonts w:hint="eastAsia" w:ascii="微软雅黑" w:hAnsi="微软雅黑" w:eastAsia="微软雅黑"/>
          <w:color w:val="000000"/>
          <w:sz w:val="32"/>
          <w:szCs w:val="32"/>
        </w:rPr>
        <w:t>℃下加热⾄晶体全部溶解。用蒸馏水</w:t>
      </w:r>
      <w:r>
        <w:rPr>
          <w:rFonts w:ascii="微软雅黑" w:hAnsi="微软雅黑" w:eastAsia="微软雅黑"/>
          <w:color w:val="000000"/>
          <w:sz w:val="32"/>
          <w:szCs w:val="32"/>
        </w:rPr>
        <w:t>1:20</w:t>
      </w:r>
      <w:r>
        <w:rPr>
          <w:rFonts w:hint="eastAsia" w:ascii="微软雅黑" w:hAnsi="微软雅黑" w:eastAsia="微软雅黑"/>
          <w:color w:val="000000"/>
          <w:sz w:val="32"/>
          <w:szCs w:val="32"/>
        </w:rPr>
        <w:t>稀释（例如：</w:t>
      </w:r>
      <w:r>
        <w:rPr>
          <w:rFonts w:ascii="微软雅黑" w:hAnsi="微软雅黑" w:eastAsia="微软雅黑"/>
          <w:color w:val="000000"/>
          <w:sz w:val="32"/>
          <w:szCs w:val="32"/>
        </w:rPr>
        <w:t>1mL</w:t>
      </w:r>
      <w:r>
        <w:rPr>
          <w:rFonts w:hint="eastAsia" w:ascii="微软雅黑" w:hAnsi="微软雅黑" w:eastAsia="微软雅黑"/>
          <w:color w:val="000000"/>
          <w:sz w:val="32"/>
          <w:szCs w:val="32"/>
        </w:rPr>
        <w:t>浓缩洗涤液加入</w:t>
      </w:r>
      <w:r>
        <w:rPr>
          <w:rFonts w:ascii="微软雅黑" w:hAnsi="微软雅黑" w:eastAsia="微软雅黑"/>
          <w:color w:val="000000"/>
          <w:sz w:val="32"/>
          <w:szCs w:val="32"/>
        </w:rPr>
        <w:t>19mL</w:t>
      </w:r>
      <w:r>
        <w:rPr>
          <w:rFonts w:hint="eastAsia" w:ascii="微软雅黑" w:hAnsi="微软雅黑" w:eastAsia="微软雅黑"/>
          <w:color w:val="000000"/>
          <w:sz w:val="32"/>
          <w:szCs w:val="32"/>
        </w:rPr>
        <w:t>的蒸馏水）</w:t>
      </w:r>
    </w:p>
    <w:p w14:paraId="3075CAA9">
      <w:pPr>
        <w:pStyle w:val="12"/>
        <w:ind w:firstLine="640" w:firstLineChars="200"/>
        <w:rPr>
          <w:rFonts w:eastAsia="宋体"/>
          <w:sz w:val="32"/>
          <w:szCs w:val="32"/>
          <w:highlight w:val="magenta"/>
        </w:rPr>
      </w:pPr>
      <w:r>
        <w:rPr>
          <w:rFonts w:hint="eastAsia" w:ascii="微软雅黑" w:hAnsi="微软雅黑" w:eastAsia="微软雅黑"/>
          <w:b/>
          <w:sz w:val="32"/>
          <w:szCs w:val="32"/>
        </w:rPr>
        <w:t>标准品配置：</w:t>
      </w:r>
      <w:r>
        <w:rPr>
          <w:rFonts w:hint="eastAsia" w:ascii="微软雅黑" w:hAnsi="微软雅黑" w:eastAsia="微软雅黑"/>
          <w:sz w:val="32"/>
          <w:szCs w:val="32"/>
        </w:rPr>
        <w:t>试剂盒中取出标准品，准备7个试管，先从</w:t>
      </w:r>
      <w:r>
        <w:rPr>
          <w:rFonts w:hint="eastAsia" w:ascii="微软雅黑" w:hAnsi="微软雅黑" w:eastAsia="微软雅黑"/>
          <w:color w:val="000000" w:themeColor="text1"/>
          <w:sz w:val="32"/>
          <w:szCs w:val="32"/>
          <w14:textFill>
            <w14:solidFill>
              <w14:schemeClr w14:val="tx1"/>
            </w14:solidFill>
          </w14:textFill>
        </w:rPr>
        <w:t>1μg/mL</w:t>
      </w:r>
      <w:r>
        <w:rPr>
          <w:rFonts w:hint="eastAsia" w:ascii="微软雅黑" w:hAnsi="微软雅黑" w:eastAsia="微软雅黑"/>
          <w:sz w:val="32"/>
          <w:szCs w:val="32"/>
        </w:rPr>
        <w:t>标准品（200μL）按需吸取一定量用1×稀释液稀释50ng/mL（例：</w:t>
      </w:r>
      <w:r>
        <w:rPr>
          <w:rFonts w:ascii="微软雅黑" w:hAnsi="微软雅黑" w:eastAsia="微软雅黑"/>
          <w:sz w:val="32"/>
          <w:szCs w:val="32"/>
        </w:rPr>
        <w:t>5</w:t>
      </w:r>
      <w:r>
        <w:rPr>
          <w:rFonts w:hint="eastAsia" w:ascii="微软雅黑" w:hAnsi="微软雅黑" w:eastAsia="微软雅黑"/>
          <w:sz w:val="32"/>
          <w:szCs w:val="32"/>
        </w:rPr>
        <w:t>0μL的标准品母液+9</w:t>
      </w:r>
      <w:r>
        <w:rPr>
          <w:rFonts w:ascii="微软雅黑" w:hAnsi="微软雅黑" w:eastAsia="微软雅黑"/>
          <w:sz w:val="32"/>
          <w:szCs w:val="32"/>
        </w:rPr>
        <w:t>5</w:t>
      </w:r>
      <w:r>
        <w:rPr>
          <w:rFonts w:hint="eastAsia" w:ascii="微软雅黑" w:hAnsi="微软雅黑" w:eastAsia="微软雅黑"/>
          <w:sz w:val="32"/>
          <w:szCs w:val="32"/>
        </w:rPr>
        <w:t>0μL的1×稀释液，制备得到1000μL的50ng/mL浓度标准品），随后在6个试管中分别加入500μL的1×稀释液，在这6个单独的试管中50ng/mL标准品依次2倍倍比稀释至6个梯度，共配制7个浓度的标准品，依次为： 50ng/mL、  25ng/mL、</w:t>
      </w:r>
      <w:r>
        <w:rPr>
          <w:rFonts w:hint="eastAsia" w:ascii="微软雅黑" w:hAnsi="微软雅黑" w:eastAsia="微软雅黑"/>
          <w:sz w:val="32"/>
          <w:szCs w:val="32"/>
          <w:lang w:val="en-US" w:eastAsia="zh-CN"/>
        </w:rPr>
        <w:t xml:space="preserve"> </w:t>
      </w:r>
      <w:r>
        <w:rPr>
          <w:rFonts w:hint="eastAsia" w:ascii="微软雅黑" w:hAnsi="微软雅黑" w:eastAsia="微软雅黑"/>
          <w:sz w:val="32"/>
          <w:szCs w:val="32"/>
        </w:rPr>
        <w:t>12.5ng/mL、</w:t>
      </w:r>
      <w:r>
        <w:rPr>
          <w:rFonts w:hint="eastAsia" w:ascii="微软雅黑" w:hAnsi="微软雅黑" w:eastAsia="微软雅黑"/>
          <w:sz w:val="32"/>
          <w:szCs w:val="32"/>
          <w:lang w:val="en-US" w:eastAsia="zh-CN"/>
        </w:rPr>
        <w:t xml:space="preserve"> </w:t>
      </w:r>
      <w:bookmarkStart w:id="18" w:name="_GoBack"/>
      <w:bookmarkEnd w:id="18"/>
      <w:r>
        <w:rPr>
          <w:rFonts w:hint="eastAsia" w:ascii="微软雅黑" w:hAnsi="微软雅黑" w:eastAsia="微软雅黑"/>
          <w:sz w:val="32"/>
          <w:szCs w:val="32"/>
        </w:rPr>
        <w:t>6.25ng/mL、3.1</w:t>
      </w:r>
      <w:r>
        <w:rPr>
          <w:rFonts w:ascii="微软雅黑" w:hAnsi="微软雅黑" w:eastAsia="微软雅黑"/>
          <w:sz w:val="32"/>
          <w:szCs w:val="32"/>
        </w:rPr>
        <w:t>3</w:t>
      </w:r>
      <w:r>
        <w:rPr>
          <w:rFonts w:hint="eastAsia" w:ascii="微软雅黑" w:hAnsi="微软雅黑" w:eastAsia="微软雅黑"/>
          <w:sz w:val="32"/>
          <w:szCs w:val="32"/>
        </w:rPr>
        <w:t>ng/mL，1.56ng/mL、 0.78ng/mL，从最高浓度标准品溶液中吸取500μL标准品到下一个试管中，轻轻吹打混匀，以此类推进行标准品的倍比稀释（如图所示），1×稀释液用作零浓度标准品(0ng/mL)</w:t>
      </w:r>
    </w:p>
    <w:p w14:paraId="0F7CB183">
      <w:pPr>
        <w:pStyle w:val="16"/>
      </w:pPr>
    </w:p>
    <w:p w14:paraId="262517BB">
      <w:pPr>
        <w:pStyle w:val="12"/>
        <w:jc w:val="center"/>
      </w:pPr>
      <w:r>
        <w:drawing>
          <wp:inline distT="0" distB="0" distL="0" distR="0">
            <wp:extent cx="6119495" cy="2159635"/>
            <wp:effectExtent l="0" t="0" r="0" b="0"/>
            <wp:docPr id="13645048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0482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000" cy="2160000"/>
                    </a:xfrm>
                    <a:prstGeom prst="rect">
                      <a:avLst/>
                    </a:prstGeom>
                    <a:noFill/>
                    <a:ln>
                      <a:noFill/>
                    </a:ln>
                  </pic:spPr>
                </pic:pic>
              </a:graphicData>
            </a:graphic>
          </wp:inline>
        </w:drawing>
      </w:r>
    </w:p>
    <w:p w14:paraId="39C7CF03">
      <w:pPr>
        <w:pStyle w:val="12"/>
      </w:pPr>
    </w:p>
    <w:p w14:paraId="63495A17">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抗体工作液配置</w:t>
      </w:r>
      <w:r>
        <w:rPr>
          <w:rFonts w:ascii="微软雅黑" w:hAnsi="微软雅黑" w:eastAsia="微软雅黑"/>
          <w:b/>
          <w:color w:val="000000"/>
          <w:sz w:val="32"/>
          <w:szCs w:val="32"/>
        </w:rPr>
        <w:t>:</w:t>
      </w:r>
      <w:r>
        <w:rPr>
          <w:rFonts w:hint="eastAsia" w:ascii="微软雅黑" w:hAnsi="微软雅黑" w:eastAsia="微软雅黑"/>
          <w:color w:val="000000"/>
          <w:sz w:val="32"/>
          <w:szCs w:val="32"/>
        </w:rPr>
        <w:t xml:space="preserve"> 使用前10分钟，用1×稀释液将100×生物素化抗体稀释成1×生物素化抗体工作液，根据所需用量配置。</w:t>
      </w:r>
    </w:p>
    <w:p w14:paraId="50A88146">
      <w:pPr>
        <w:pStyle w:val="16"/>
        <w:ind w:firstLine="480" w:firstLineChars="200"/>
      </w:pPr>
      <w:r>
        <w:rPr>
          <w:rFonts w:hint="eastAsia"/>
        </w:rPr>
        <w:t xml:space="preserve"> </w:t>
      </w:r>
      <w:r>
        <w:rPr>
          <w:rFonts w:hint="eastAsia" w:ascii="微软雅黑" w:hAnsi="微软雅黑" w:eastAsia="微软雅黑"/>
          <w:b/>
          <w:color w:val="000000"/>
          <w:sz w:val="32"/>
          <w:szCs w:val="32"/>
        </w:rPr>
        <w:t>酶结合物工作液配置:</w:t>
      </w:r>
      <w:r>
        <w:rPr>
          <w:rFonts w:hint="eastAsia" w:ascii="微软雅黑" w:hAnsi="微软雅黑" w:eastAsia="微软雅黑"/>
          <w:color w:val="000000"/>
          <w:sz w:val="32"/>
          <w:szCs w:val="32"/>
        </w:rPr>
        <w:t>使用前10分钟，用1×稀释液将100×SA-HRP稀释成1×SA-HRP工作液，根据所需用量配置。</w:t>
      </w:r>
    </w:p>
    <w:p w14:paraId="61A029B5">
      <w:pPr>
        <w:pStyle w:val="16"/>
        <w:spacing w:after="240"/>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备注：</w:t>
      </w:r>
      <w:bookmarkStart w:id="9" w:name="_Toc164420464"/>
      <w:r>
        <w:rPr>
          <w:rFonts w:hint="eastAsia" w:ascii="微软雅黑" w:hAnsi="微软雅黑" w:eastAsia="微软雅黑"/>
          <w:color w:val="000000"/>
          <w:sz w:val="32"/>
          <w:szCs w:val="32"/>
        </w:rPr>
        <w:t>如待测样本中BDNF浓度高于标准品最高值，请根据实际情况选择适当的稀释倍数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建议：将待测样本用样品稀释液最低稀释</w:t>
      </w:r>
      <w:r>
        <w:rPr>
          <w:rFonts w:ascii="微软雅黑" w:hAnsi="微软雅黑" w:eastAsia="微软雅黑"/>
          <w:color w:val="000000"/>
          <w:sz w:val="32"/>
          <w:szCs w:val="32"/>
        </w:rPr>
        <w:t>1</w:t>
      </w:r>
      <w:r>
        <w:rPr>
          <w:rFonts w:hint="eastAsia" w:ascii="微软雅黑" w:hAnsi="微软雅黑" w:eastAsia="微软雅黑"/>
          <w:color w:val="000000"/>
          <w:sz w:val="32"/>
          <w:szCs w:val="32"/>
        </w:rPr>
        <w:t>倍，在正式实验之前做预实验，以确定具体稀释倍数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w:t>
      </w:r>
      <w:r>
        <w:rPr>
          <w:rFonts w:hint="eastAsia" w:ascii="微软雅黑" w:hAnsi="微软雅黑" w:eastAsia="微软雅黑"/>
          <w:sz w:val="32"/>
          <w:szCs w:val="32"/>
        </w:rPr>
        <w:t>标准品母液、</w:t>
      </w:r>
      <w:r>
        <w:rPr>
          <w:rFonts w:ascii="微软雅黑" w:hAnsi="微软雅黑" w:eastAsia="微软雅黑"/>
          <w:sz w:val="32"/>
          <w:szCs w:val="32"/>
        </w:rPr>
        <w:t>100</w:t>
      </w:r>
      <w:r>
        <w:rPr>
          <w:rFonts w:hint="eastAsia" w:ascii="微软雅黑" w:hAnsi="微软雅黑" w:eastAsia="微软雅黑"/>
          <w:sz w:val="32"/>
          <w:szCs w:val="32"/>
        </w:rPr>
        <w:t>×生物素化抗体溶液及100×SA-HRP溶液请根据实验所需酶标板孔数吸取一定量配置工作液，剩余溶液应放回</w:t>
      </w:r>
      <w:r>
        <w:rPr>
          <w:rFonts w:ascii="微软雅黑" w:hAnsi="微软雅黑" w:eastAsia="微软雅黑"/>
          <w:bCs/>
          <w:color w:val="000000"/>
          <w:spacing w:val="28"/>
          <w:sz w:val="32"/>
          <w:szCs w:val="32"/>
        </w:rPr>
        <w:t>2-8</w:t>
      </w:r>
      <w:r>
        <w:rPr>
          <w:rFonts w:hint="eastAsia" w:ascii="微软雅黑" w:hAnsi="微软雅黑" w:eastAsia="微软雅黑"/>
          <w:sz w:val="32"/>
          <w:szCs w:val="32"/>
        </w:rPr>
        <w:t>℃储存。</w:t>
      </w:r>
    </w:p>
    <w:p w14:paraId="27BDB331">
      <w:pPr>
        <w:pStyle w:val="6"/>
        <w:rPr>
          <w:rFonts w:ascii="微软雅黑" w:hAnsi="微软雅黑" w:eastAsia="微软雅黑"/>
          <w:sz w:val="32"/>
        </w:rPr>
      </w:pPr>
      <w:r>
        <w:rPr>
          <w:rFonts w:hint="eastAsia" w:ascii="微软雅黑" w:hAnsi="微软雅黑" w:eastAsia="微软雅黑"/>
          <w:sz w:val="32"/>
        </w:rPr>
        <w:t>实验步骤</w:t>
      </w:r>
      <w:bookmarkEnd w:id="9"/>
    </w:p>
    <w:p w14:paraId="37788225">
      <w:pPr>
        <w:rPr>
          <w:rFonts w:ascii="微软雅黑" w:hAnsi="微软雅黑" w:eastAsia="微软雅黑"/>
          <w:b/>
          <w:sz w:val="32"/>
          <w:szCs w:val="32"/>
        </w:rPr>
      </w:pPr>
      <w:r>
        <w:rPr>
          <w:rFonts w:ascii="微软雅黑" w:hAnsi="微软雅黑" w:eastAsia="微软雅黑"/>
          <w:b/>
          <w:sz w:val="28"/>
          <w:szCs w:val="28"/>
        </w:rPr>
        <w:t xml:space="preserve">  </w:t>
      </w:r>
      <w:r>
        <w:rPr>
          <w:rFonts w:ascii="微软雅黑" w:hAnsi="微软雅黑" w:eastAsia="微软雅黑"/>
          <w:b/>
          <w:sz w:val="32"/>
          <w:szCs w:val="32"/>
        </w:rPr>
        <w:t xml:space="preserve">  </w:t>
      </w:r>
      <w:r>
        <w:rPr>
          <w:rFonts w:hint="eastAsia" w:ascii="微软雅黑" w:hAnsi="微软雅黑" w:eastAsia="微软雅黑"/>
          <w:b/>
          <w:sz w:val="32"/>
          <w:szCs w:val="32"/>
        </w:rPr>
        <w:t>所有标准品、样品建议复孔检测</w:t>
      </w:r>
    </w:p>
    <w:p w14:paraId="0CA92821">
      <w:pPr>
        <w:numPr>
          <w:ilvl w:val="0"/>
          <w:numId w:val="2"/>
        </w:numPr>
        <w:ind w:left="0" w:firstLine="567" w:firstLineChars="177"/>
        <w:rPr>
          <w:rFonts w:ascii="微软雅黑" w:hAnsi="微软雅黑" w:eastAsia="微软雅黑"/>
          <w:sz w:val="32"/>
          <w:szCs w:val="32"/>
        </w:rPr>
      </w:pPr>
      <w:bookmarkStart w:id="10" w:name="_Toc164420465"/>
      <w:r>
        <w:rPr>
          <w:rFonts w:hint="eastAsia" w:ascii="微软雅黑" w:hAnsi="微软雅黑" w:eastAsia="微软雅黑"/>
          <w:b/>
          <w:sz w:val="32"/>
          <w:szCs w:val="32"/>
        </w:rPr>
        <w:t>酶标板准备：</w:t>
      </w:r>
      <w:r>
        <w:rPr>
          <w:rFonts w:hint="eastAsia" w:ascii="微软雅黑" w:hAnsi="微软雅黑" w:eastAsia="微软雅黑"/>
          <w:sz w:val="32"/>
          <w:szCs w:val="32"/>
        </w:rPr>
        <w:t>确定试验所需要的孔数，取下未使用的酶标条放回装有干燥剂的铝箔袋。</w:t>
      </w:r>
    </w:p>
    <w:p w14:paraId="078AA688">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样本孵育：</w:t>
      </w:r>
      <w:r>
        <w:rPr>
          <w:rFonts w:hint="eastAsia" w:ascii="微软雅黑" w:hAnsi="微软雅黑" w:eastAsia="微软雅黑"/>
          <w:sz w:val="32"/>
          <w:szCs w:val="32"/>
        </w:rPr>
        <w:t>每孔分别加入</w:t>
      </w:r>
      <w:r>
        <w:rPr>
          <w:rFonts w:ascii="微软雅黑" w:hAnsi="微软雅黑" w:eastAsia="微软雅黑"/>
          <w:sz w:val="32"/>
          <w:szCs w:val="32"/>
        </w:rPr>
        <w:t>100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不同浓度的标准品以及预处理过的待测样品，盖上封板胶纸，37℃避光反应1.5h。孵育结束后，每孔加入</w:t>
      </w:r>
      <w:r>
        <w:rPr>
          <w:rFonts w:ascii="微软雅黑" w:hAnsi="微软雅黑" w:eastAsia="微软雅黑"/>
          <w:sz w:val="32"/>
          <w:szCs w:val="32"/>
        </w:rPr>
        <w:t>300</w:t>
      </w:r>
      <w:r>
        <w:rPr>
          <w:rFonts w:hint="eastAsia" w:ascii="微软雅黑" w:hAnsi="微软雅黑" w:eastAsia="微软雅黑"/>
          <w:sz w:val="32"/>
          <w:szCs w:val="32"/>
        </w:rPr>
        <w:t>μ</w:t>
      </w:r>
      <w:r>
        <w:rPr>
          <w:rFonts w:ascii="微软雅黑" w:hAnsi="微软雅黑" w:eastAsia="微软雅黑"/>
          <w:sz w:val="32"/>
          <w:szCs w:val="32"/>
        </w:rPr>
        <w:t>L 1</w:t>
      </w:r>
      <w:r>
        <w:rPr>
          <w:rFonts w:hint="eastAsia" w:ascii="微软雅黑" w:hAnsi="微软雅黑" w:eastAsia="微软雅黑"/>
          <w:sz w:val="32"/>
          <w:szCs w:val="32"/>
        </w:rPr>
        <w:t>×洗涤缓冲液，轻轻晃动</w:t>
      </w:r>
      <w:r>
        <w:rPr>
          <w:rFonts w:ascii="微软雅黑" w:hAnsi="微软雅黑" w:eastAsia="微软雅黑"/>
          <w:sz w:val="32"/>
          <w:szCs w:val="32"/>
        </w:rPr>
        <w:t>30</w:t>
      </w:r>
      <w:r>
        <w:rPr>
          <w:rFonts w:hint="eastAsia" w:ascii="微软雅黑" w:hAnsi="微软雅黑" w:eastAsia="微软雅黑"/>
          <w:sz w:val="32"/>
          <w:szCs w:val="32"/>
        </w:rPr>
        <w:t>秒，甩干并在纸上拍干，以这种方式清洗3次。</w:t>
      </w:r>
    </w:p>
    <w:p w14:paraId="40A7861C">
      <w:pPr>
        <w:numPr>
          <w:ilvl w:val="0"/>
          <w:numId w:val="2"/>
        </w:numPr>
        <w:ind w:left="0" w:firstLine="567" w:firstLineChars="177"/>
        <w:rPr>
          <w:rFonts w:ascii="微软雅黑" w:hAnsi="微软雅黑" w:eastAsia="微软雅黑"/>
          <w:sz w:val="24"/>
          <w:szCs w:val="24"/>
        </w:rPr>
      </w:pPr>
      <w:r>
        <w:rPr>
          <w:rFonts w:hint="eastAsia" w:ascii="微软雅黑" w:hAnsi="微软雅黑" w:eastAsia="微软雅黑"/>
          <w:b/>
          <w:sz w:val="32"/>
          <w:szCs w:val="32"/>
        </w:rPr>
        <w:t>抗体孵育：</w:t>
      </w:r>
      <w:r>
        <w:rPr>
          <w:rFonts w:hint="eastAsia" w:ascii="微软雅黑" w:hAnsi="微软雅黑" w:eastAsia="微软雅黑"/>
          <w:sz w:val="32"/>
          <w:szCs w:val="32"/>
        </w:rPr>
        <w:t>每孔加入100μL生物素化抗体工作液，轻轻混匀，盖上封板胶纸，37℃避光反应1h。孵育结束后，重复步骤2中的清洗方式清洗4次。</w:t>
      </w:r>
    </w:p>
    <w:p w14:paraId="05581FA7">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酶标孵育：</w:t>
      </w:r>
      <w:r>
        <w:rPr>
          <w:rFonts w:hint="eastAsia" w:ascii="微软雅黑" w:hAnsi="微软雅黑" w:eastAsia="微软雅黑"/>
          <w:sz w:val="32"/>
          <w:szCs w:val="32"/>
        </w:rPr>
        <w:t>每孔加入100μL 1×SA-HRP工作液，盖上封板胶纸，37℃避光反应30分钟，清洗4次，拍干。</w:t>
      </w:r>
    </w:p>
    <w:p w14:paraId="42F5FE93">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底物显色：</w:t>
      </w:r>
      <w:r>
        <w:rPr>
          <w:rFonts w:hint="eastAsia" w:ascii="微软雅黑" w:hAnsi="微软雅黑" w:eastAsia="微软雅黑"/>
          <w:sz w:val="32"/>
          <w:szCs w:val="32"/>
        </w:rPr>
        <w:t>每孔首先加入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A</w:t>
      </w:r>
      <w:r>
        <w:rPr>
          <w:rFonts w:hint="eastAsia" w:ascii="微软雅黑" w:hAnsi="微软雅黑" w:eastAsia="微软雅黑"/>
          <w:sz w:val="32"/>
          <w:szCs w:val="32"/>
        </w:rPr>
        <w:t>，随后加入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B</w:t>
      </w:r>
      <w:r>
        <w:rPr>
          <w:rFonts w:hint="eastAsia" w:ascii="微软雅黑" w:hAnsi="微软雅黑" w:eastAsia="微软雅黑"/>
          <w:sz w:val="32"/>
          <w:szCs w:val="32"/>
        </w:rPr>
        <w:t>，轻轻混匀，盖上封板胶纸，37℃避光反应</w:t>
      </w:r>
      <w:r>
        <w:rPr>
          <w:rFonts w:ascii="微软雅黑" w:hAnsi="微软雅黑" w:eastAsia="微软雅黑"/>
          <w:sz w:val="32"/>
          <w:szCs w:val="32"/>
        </w:rPr>
        <w:t>15</w:t>
      </w:r>
      <w:r>
        <w:rPr>
          <w:rFonts w:hint="eastAsia" w:ascii="微软雅黑" w:hAnsi="微软雅黑" w:eastAsia="微软雅黑"/>
          <w:sz w:val="32"/>
          <w:szCs w:val="32"/>
        </w:rPr>
        <w:t>分钟。（根据样品和对照抗体的颜色，自行控制显色时间）</w:t>
      </w:r>
    </w:p>
    <w:p w14:paraId="31B0B3CF">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终止反应：</w:t>
      </w:r>
      <w:r>
        <w:rPr>
          <w:rFonts w:hint="eastAsia" w:ascii="微软雅黑" w:hAnsi="微软雅黑" w:eastAsia="微软雅黑"/>
          <w:sz w:val="32"/>
          <w:szCs w:val="32"/>
        </w:rPr>
        <w:t>待显色反应结束后，每孔加入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终止液，轻轻混匀，</w:t>
      </w:r>
      <w:r>
        <w:rPr>
          <w:rFonts w:ascii="微软雅黑" w:hAnsi="微软雅黑" w:eastAsia="微软雅黑"/>
          <w:sz w:val="32"/>
          <w:szCs w:val="32"/>
        </w:rPr>
        <w:t>5</w:t>
      </w:r>
      <w:r>
        <w:rPr>
          <w:rFonts w:hint="eastAsia" w:ascii="微软雅黑" w:hAnsi="微软雅黑" w:eastAsia="微软雅黑"/>
          <w:sz w:val="32"/>
          <w:szCs w:val="32"/>
        </w:rPr>
        <w:t>分钟内用预热完成的酶标仪在</w:t>
      </w:r>
      <w:r>
        <w:rPr>
          <w:rFonts w:ascii="微软雅黑" w:hAnsi="微软雅黑" w:eastAsia="微软雅黑"/>
          <w:sz w:val="32"/>
          <w:szCs w:val="32"/>
        </w:rPr>
        <w:t>450nm</w:t>
      </w:r>
      <w:r>
        <w:rPr>
          <w:rFonts w:hint="eastAsia" w:ascii="微软雅黑" w:hAnsi="微软雅黑" w:eastAsia="微软雅黑"/>
          <w:sz w:val="32"/>
          <w:szCs w:val="32"/>
        </w:rPr>
        <w:t>处测吸光值。</w:t>
      </w:r>
    </w:p>
    <w:p w14:paraId="4E39E58A">
      <w:pPr>
        <w:pStyle w:val="6"/>
        <w:rPr>
          <w:rFonts w:ascii="微软雅黑" w:hAnsi="微软雅黑" w:eastAsia="微软雅黑"/>
          <w:sz w:val="32"/>
        </w:rPr>
      </w:pPr>
      <w:r>
        <w:rPr>
          <w:rFonts w:hint="eastAsia" w:ascii="微软雅黑" w:hAnsi="微软雅黑" w:eastAsia="微软雅黑"/>
          <w:sz w:val="32"/>
        </w:rPr>
        <w:t>实验步骤汇总</w:t>
      </w:r>
    </w:p>
    <w:p w14:paraId="5BA87F59">
      <w:pPr>
        <w:ind w:firstLine="640" w:firstLineChars="200"/>
        <w:rPr>
          <w:rFonts w:ascii="微软雅黑" w:hAnsi="微软雅黑" w:eastAsia="微软雅黑"/>
          <w:sz w:val="32"/>
          <w:szCs w:val="32"/>
        </w:rPr>
      </w:pPr>
      <w:r>
        <w:rPr>
          <w:rFonts w:ascii="微软雅黑" w:hAnsi="微软雅黑" w:eastAsia="微软雅黑"/>
          <w:sz w:val="32"/>
          <w:szCs w:val="32"/>
        </w:rPr>
        <w:t>1.</w:t>
      </w:r>
      <w:r>
        <w:rPr>
          <w:rFonts w:hint="eastAsia" w:ascii="微软雅黑" w:hAnsi="微软雅黑" w:eastAsia="微软雅黑"/>
          <w:sz w:val="32"/>
          <w:szCs w:val="32"/>
        </w:rPr>
        <w:t>加标准品及样品，37℃避光反应1.5h，洗涤</w:t>
      </w:r>
      <w:r>
        <w:rPr>
          <w:rFonts w:ascii="微软雅黑" w:hAnsi="微软雅黑" w:eastAsia="微软雅黑"/>
          <w:sz w:val="32"/>
          <w:szCs w:val="32"/>
        </w:rPr>
        <w:t>3</w:t>
      </w:r>
      <w:r>
        <w:rPr>
          <w:rFonts w:hint="eastAsia" w:ascii="微软雅黑" w:hAnsi="微软雅黑" w:eastAsia="微软雅黑"/>
          <w:sz w:val="32"/>
          <w:szCs w:val="32"/>
        </w:rPr>
        <w:t>次。</w:t>
      </w:r>
    </w:p>
    <w:p w14:paraId="3B6F3E20">
      <w:pPr>
        <w:ind w:firstLine="640" w:firstLineChars="200"/>
        <w:rPr>
          <w:rFonts w:ascii="微软雅黑" w:hAnsi="微软雅黑" w:eastAsia="微软雅黑"/>
          <w:sz w:val="32"/>
          <w:szCs w:val="32"/>
        </w:rPr>
      </w:pPr>
      <w:r>
        <w:rPr>
          <w:rFonts w:ascii="微软雅黑" w:hAnsi="微软雅黑" w:eastAsia="微软雅黑"/>
          <w:sz w:val="32"/>
          <w:szCs w:val="32"/>
        </w:rPr>
        <w:t>2.</w:t>
      </w:r>
      <w:r>
        <w:rPr>
          <w:rFonts w:hint="eastAsia" w:ascii="微软雅黑" w:hAnsi="微软雅黑" w:eastAsia="微软雅黑"/>
          <w:sz w:val="32"/>
          <w:szCs w:val="32"/>
        </w:rPr>
        <w:t>加生物素化抗体，37℃避光反应1h，洗涤4次。</w:t>
      </w:r>
    </w:p>
    <w:p w14:paraId="52814EF2">
      <w:pPr>
        <w:ind w:firstLine="640" w:firstLineChars="200"/>
        <w:rPr>
          <w:rFonts w:ascii="微软雅黑" w:hAnsi="微软雅黑" w:eastAsia="微软雅黑"/>
          <w:sz w:val="32"/>
          <w:szCs w:val="32"/>
        </w:rPr>
      </w:pPr>
      <w:r>
        <w:rPr>
          <w:rFonts w:hint="eastAsia" w:ascii="微软雅黑" w:hAnsi="微软雅黑" w:eastAsia="微软雅黑"/>
          <w:sz w:val="32"/>
          <w:szCs w:val="32"/>
        </w:rPr>
        <w:t>3.加酶结合物，37℃避光反应30分钟，洗涤4次。</w:t>
      </w:r>
    </w:p>
    <w:p w14:paraId="2FD3EA09">
      <w:pPr>
        <w:ind w:firstLine="640" w:firstLineChars="200"/>
        <w:rPr>
          <w:rFonts w:ascii="微软雅黑" w:hAnsi="微软雅黑" w:eastAsia="微软雅黑"/>
          <w:sz w:val="32"/>
          <w:szCs w:val="32"/>
        </w:rPr>
      </w:pPr>
      <w:r>
        <w:rPr>
          <w:rFonts w:hint="eastAsia" w:ascii="微软雅黑" w:hAnsi="微软雅黑" w:eastAsia="微软雅黑"/>
          <w:sz w:val="32"/>
          <w:szCs w:val="32"/>
        </w:rPr>
        <w:t>4</w:t>
      </w:r>
      <w:r>
        <w:rPr>
          <w:rFonts w:ascii="微软雅黑" w:hAnsi="微软雅黑" w:eastAsia="微软雅黑"/>
          <w:sz w:val="32"/>
          <w:szCs w:val="32"/>
        </w:rPr>
        <w:t>.</w:t>
      </w:r>
      <w:r>
        <w:rPr>
          <w:rFonts w:hint="eastAsia" w:ascii="微软雅黑" w:hAnsi="微软雅黑" w:eastAsia="微软雅黑"/>
          <w:sz w:val="32"/>
          <w:szCs w:val="32"/>
        </w:rPr>
        <w:t>加显色液，37℃避光反应15分钟。</w:t>
      </w:r>
    </w:p>
    <w:p w14:paraId="16FB53D4">
      <w:pPr>
        <w:ind w:firstLine="640" w:firstLineChars="200"/>
        <w:rPr>
          <w:rFonts w:ascii="微软雅黑" w:hAnsi="微软雅黑" w:eastAsia="微软雅黑"/>
          <w:sz w:val="32"/>
          <w:szCs w:val="32"/>
        </w:rPr>
      </w:pPr>
      <w:r>
        <w:rPr>
          <w:rFonts w:hint="eastAsia" w:ascii="微软雅黑" w:hAnsi="微软雅黑" w:eastAsia="微软雅黑"/>
          <w:sz w:val="32"/>
          <w:szCs w:val="32"/>
        </w:rPr>
        <w:t>5</w:t>
      </w:r>
      <w:r>
        <w:rPr>
          <w:rFonts w:ascii="微软雅黑" w:hAnsi="微软雅黑" w:eastAsia="微软雅黑"/>
          <w:sz w:val="32"/>
          <w:szCs w:val="32"/>
        </w:rPr>
        <w:t>.</w:t>
      </w:r>
      <w:r>
        <w:rPr>
          <w:rFonts w:hint="eastAsia" w:ascii="微软雅黑" w:hAnsi="微软雅黑" w:eastAsia="微软雅黑"/>
          <w:sz w:val="32"/>
          <w:szCs w:val="32"/>
        </w:rPr>
        <w:t>加终止液，在</w:t>
      </w:r>
      <w:r>
        <w:rPr>
          <w:rFonts w:ascii="微软雅黑" w:hAnsi="微软雅黑" w:eastAsia="微软雅黑"/>
          <w:sz w:val="32"/>
          <w:szCs w:val="32"/>
        </w:rPr>
        <w:t>5</w:t>
      </w:r>
      <w:r>
        <w:rPr>
          <w:rFonts w:hint="eastAsia" w:ascii="微软雅黑" w:hAnsi="微软雅黑" w:eastAsia="微软雅黑"/>
          <w:sz w:val="32"/>
          <w:szCs w:val="32"/>
        </w:rPr>
        <w:t>分钟内读数。</w:t>
      </w:r>
    </w:p>
    <w:p w14:paraId="305CF1B7">
      <w:pPr>
        <w:pStyle w:val="6"/>
        <w:rPr>
          <w:rFonts w:ascii="微软雅黑" w:hAnsi="微软雅黑" w:eastAsia="微软雅黑"/>
          <w:sz w:val="32"/>
        </w:rPr>
      </w:pPr>
      <w:r>
        <w:rPr>
          <w:rFonts w:hint="eastAsia" w:ascii="微软雅黑" w:hAnsi="微软雅黑" w:eastAsia="微软雅黑"/>
          <w:sz w:val="32"/>
        </w:rPr>
        <w:t>结果的计算</w:t>
      </w:r>
      <w:bookmarkEnd w:id="10"/>
    </w:p>
    <w:p w14:paraId="1B3D2531">
      <w:pPr>
        <w:ind w:firstLine="640" w:firstLineChars="200"/>
        <w:rPr>
          <w:rFonts w:ascii="微软雅黑" w:hAnsi="微软雅黑" w:eastAsia="微软雅黑"/>
          <w:sz w:val="32"/>
          <w:szCs w:val="32"/>
        </w:rPr>
      </w:pPr>
      <w:r>
        <w:rPr>
          <w:rFonts w:hint="eastAsia" w:ascii="微软雅黑" w:hAnsi="微软雅黑" w:eastAsia="微软雅黑"/>
          <w:sz w:val="32"/>
          <w:szCs w:val="32"/>
        </w:rPr>
        <w:t>计算标准品和样本复孔的平均</w:t>
      </w:r>
      <w:r>
        <w:rPr>
          <w:rFonts w:ascii="微软雅黑" w:hAnsi="微软雅黑" w:eastAsia="微软雅黑"/>
          <w:sz w:val="32"/>
          <w:szCs w:val="32"/>
        </w:rPr>
        <w:t>OD</w:t>
      </w:r>
      <w:r>
        <w:rPr>
          <w:rFonts w:hint="eastAsia" w:ascii="微软雅黑" w:hAnsi="微软雅黑" w:eastAsia="微软雅黑"/>
          <w:sz w:val="32"/>
          <w:szCs w:val="32"/>
        </w:rPr>
        <w:t>值并减去空白孔的</w:t>
      </w:r>
      <w:r>
        <w:rPr>
          <w:rFonts w:ascii="微软雅黑" w:hAnsi="微软雅黑" w:eastAsia="微软雅黑"/>
          <w:sz w:val="32"/>
          <w:szCs w:val="32"/>
        </w:rPr>
        <w:t>OD</w:t>
      </w:r>
      <w:r>
        <w:rPr>
          <w:rFonts w:hint="eastAsia" w:ascii="微软雅黑" w:hAnsi="微软雅黑" w:eastAsia="微软雅黑"/>
          <w:sz w:val="32"/>
          <w:szCs w:val="32"/>
        </w:rPr>
        <w:t>值作为校正值。以浓度为横坐标，</w:t>
      </w:r>
      <w:r>
        <w:rPr>
          <w:rFonts w:ascii="微软雅黑" w:hAnsi="微软雅黑" w:eastAsia="微软雅黑"/>
          <w:sz w:val="32"/>
          <w:szCs w:val="32"/>
        </w:rPr>
        <w:t>OD</w:t>
      </w:r>
      <w:r>
        <w:rPr>
          <w:rFonts w:hint="eastAsia" w:ascii="微软雅黑" w:hAnsi="微软雅黑" w:eastAsia="微软雅黑"/>
          <w:sz w:val="32"/>
          <w:szCs w:val="32"/>
        </w:rPr>
        <w:t>值为纵坐标，在坐标纸上绘出四参数逻辑函数的标准曲线（作图时去掉空白组的值）。或者使用能够生成四参数逻辑（</w:t>
      </w:r>
      <w:r>
        <w:rPr>
          <w:rFonts w:ascii="微软雅黑" w:hAnsi="微软雅黑" w:eastAsia="微软雅黑"/>
          <w:sz w:val="32"/>
          <w:szCs w:val="32"/>
        </w:rPr>
        <w:t>4-P</w:t>
      </w:r>
      <w:r>
        <w:rPr>
          <w:rFonts w:hint="eastAsia" w:ascii="微软雅黑" w:hAnsi="微软雅黑" w:eastAsia="微软雅黑"/>
          <w:sz w:val="32"/>
          <w:szCs w:val="32"/>
        </w:rPr>
        <w:t>）曲线拟合的计算机软件来创建标准曲线。</w:t>
      </w:r>
    </w:p>
    <w:p w14:paraId="3608FFAD">
      <w:pPr>
        <w:ind w:firstLine="640" w:firstLineChars="200"/>
        <w:rPr>
          <w:rFonts w:ascii="微软雅黑" w:hAnsi="微软雅黑" w:eastAsia="微软雅黑"/>
          <w:sz w:val="32"/>
          <w:szCs w:val="32"/>
        </w:rPr>
      </w:pPr>
      <w:r>
        <w:rPr>
          <w:rFonts w:hint="eastAsia" w:ascii="微软雅黑" w:hAnsi="微软雅黑" w:eastAsia="微软雅黑"/>
          <w:sz w:val="32"/>
          <w:szCs w:val="32"/>
        </w:rPr>
        <w:t>若样品</w:t>
      </w:r>
      <w:r>
        <w:rPr>
          <w:rFonts w:ascii="微软雅黑" w:hAnsi="微软雅黑" w:eastAsia="微软雅黑"/>
          <w:sz w:val="32"/>
          <w:szCs w:val="32"/>
        </w:rPr>
        <w:t>OD</w:t>
      </w:r>
      <w:r>
        <w:rPr>
          <w:rFonts w:hint="eastAsia" w:ascii="微软雅黑" w:hAnsi="微软雅黑" w:eastAsia="微软雅黑"/>
          <w:sz w:val="32"/>
          <w:szCs w:val="32"/>
        </w:rPr>
        <w:t>值高于标准曲线上限，应适当稀释后重测并在计算样本浓度时乘以相应的稀释倍数。</w:t>
      </w:r>
      <w:bookmarkStart w:id="11" w:name="_Toc164420466"/>
    </w:p>
    <w:p w14:paraId="7C9DB011">
      <w:pPr>
        <w:pStyle w:val="6"/>
        <w:rPr>
          <w:rFonts w:ascii="微软雅黑" w:hAnsi="微软雅黑" w:eastAsia="微软雅黑"/>
          <w:sz w:val="32"/>
        </w:rPr>
      </w:pPr>
      <w:r>
        <w:rPr>
          <w:rFonts w:hint="eastAsia" w:ascii="微软雅黑" w:hAnsi="微软雅黑" w:eastAsia="微软雅黑"/>
          <w:sz w:val="32"/>
        </w:rPr>
        <w:t>示例数据</w:t>
      </w:r>
      <w:bookmarkEnd w:id="11"/>
    </w:p>
    <w:p w14:paraId="4B3AAE22">
      <w:pPr>
        <w:rPr>
          <w:rFonts w:ascii="微软雅黑" w:hAnsi="微软雅黑" w:eastAsia="微软雅黑"/>
          <w:b/>
          <w:sz w:val="30"/>
          <w:szCs w:val="30"/>
        </w:rPr>
      </w:pPr>
      <w:r>
        <w:rPr>
          <w:rFonts w:hint="eastAsia" w:ascii="微软雅黑" w:hAnsi="微软雅黑" w:eastAsia="微软雅黑"/>
          <w:b/>
          <w:sz w:val="30"/>
          <w:szCs w:val="30"/>
        </w:rPr>
        <w:t>以下数据和曲线仅供参考，实验者需根据自己的实验数据建立标准曲线。</w:t>
      </w:r>
    </w:p>
    <w:tbl>
      <w:tblPr>
        <w:tblStyle w:val="7"/>
        <w:tblW w:w="10570" w:type="dxa"/>
        <w:jc w:val="center"/>
        <w:tblLayout w:type="fixed"/>
        <w:tblCellMar>
          <w:top w:w="0" w:type="dxa"/>
          <w:left w:w="108" w:type="dxa"/>
          <w:bottom w:w="0" w:type="dxa"/>
          <w:right w:w="108" w:type="dxa"/>
        </w:tblCellMar>
      </w:tblPr>
      <w:tblGrid>
        <w:gridCol w:w="2113"/>
        <w:gridCol w:w="1008"/>
        <w:gridCol w:w="960"/>
        <w:gridCol w:w="1020"/>
        <w:gridCol w:w="1080"/>
        <w:gridCol w:w="1140"/>
        <w:gridCol w:w="1152"/>
        <w:gridCol w:w="1133"/>
        <w:gridCol w:w="964"/>
      </w:tblGrid>
      <w:tr w14:paraId="3F6292E6">
        <w:tblPrEx>
          <w:tblCellMar>
            <w:top w:w="0" w:type="dxa"/>
            <w:left w:w="108" w:type="dxa"/>
            <w:bottom w:w="0" w:type="dxa"/>
            <w:right w:w="108" w:type="dxa"/>
          </w:tblCellMar>
        </w:tblPrEx>
        <w:trPr>
          <w:trHeight w:val="498" w:hRule="atLeast"/>
          <w:jc w:val="center"/>
        </w:trPr>
        <w:tc>
          <w:tcPr>
            <w:tcW w:w="2113" w:type="dxa"/>
            <w:tcBorders>
              <w:top w:val="single" w:color="auto" w:sz="4" w:space="0"/>
              <w:left w:val="single" w:color="auto" w:sz="4" w:space="0"/>
              <w:bottom w:val="single" w:color="auto" w:sz="4" w:space="0"/>
              <w:right w:val="single" w:color="auto" w:sz="4" w:space="0"/>
            </w:tcBorders>
            <w:noWrap/>
            <w:vAlign w:val="center"/>
          </w:tcPr>
          <w:p w14:paraId="0D12896F">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标准品浓度</w:t>
            </w:r>
            <w:r>
              <w:rPr>
                <w:rFonts w:ascii="微软雅黑" w:hAnsi="微软雅黑" w:eastAsia="微软雅黑"/>
                <w:sz w:val="28"/>
                <w:szCs w:val="28"/>
              </w:rPr>
              <w:t>(</w:t>
            </w:r>
            <w:r>
              <w:rPr>
                <w:rFonts w:hint="eastAsia" w:ascii="微软雅黑" w:hAnsi="微软雅黑" w:eastAsia="微软雅黑"/>
                <w:sz w:val="28"/>
                <w:szCs w:val="28"/>
              </w:rPr>
              <w:t>ng</w:t>
            </w:r>
            <w:r>
              <w:rPr>
                <w:rFonts w:ascii="微软雅黑" w:hAnsi="微软雅黑" w:eastAsia="微软雅黑"/>
                <w:sz w:val="28"/>
                <w:szCs w:val="28"/>
              </w:rPr>
              <w:t>/mL)</w:t>
            </w:r>
          </w:p>
        </w:tc>
        <w:tc>
          <w:tcPr>
            <w:tcW w:w="1008" w:type="dxa"/>
            <w:tcBorders>
              <w:top w:val="single" w:color="auto" w:sz="4" w:space="0"/>
              <w:left w:val="nil"/>
              <w:bottom w:val="single" w:color="auto" w:sz="4" w:space="0"/>
              <w:right w:val="single" w:color="auto" w:sz="4" w:space="0"/>
            </w:tcBorders>
            <w:noWrap/>
            <w:vAlign w:val="center"/>
          </w:tcPr>
          <w:p w14:paraId="6DFECA83">
            <w:pPr>
              <w:jc w:val="center"/>
              <w:rPr>
                <w:rFonts w:ascii="微软雅黑" w:hAnsi="微软雅黑" w:eastAsia="微软雅黑"/>
                <w:sz w:val="28"/>
                <w:szCs w:val="28"/>
              </w:rPr>
            </w:pPr>
            <w:r>
              <w:rPr>
                <w:rFonts w:hint="eastAsia" w:ascii="微软雅黑" w:hAnsi="微软雅黑" w:eastAsia="微软雅黑"/>
                <w:sz w:val="28"/>
                <w:szCs w:val="28"/>
              </w:rPr>
              <w:t>50</w:t>
            </w:r>
          </w:p>
        </w:tc>
        <w:tc>
          <w:tcPr>
            <w:tcW w:w="960" w:type="dxa"/>
            <w:tcBorders>
              <w:top w:val="single" w:color="auto" w:sz="4" w:space="0"/>
              <w:left w:val="nil"/>
              <w:bottom w:val="single" w:color="auto" w:sz="4" w:space="0"/>
              <w:right w:val="single" w:color="auto" w:sz="4" w:space="0"/>
            </w:tcBorders>
            <w:noWrap/>
            <w:vAlign w:val="center"/>
          </w:tcPr>
          <w:p w14:paraId="7548FEA7">
            <w:pPr>
              <w:jc w:val="center"/>
              <w:rPr>
                <w:rFonts w:ascii="微软雅黑" w:hAnsi="微软雅黑" w:eastAsia="微软雅黑"/>
                <w:sz w:val="28"/>
                <w:szCs w:val="28"/>
              </w:rPr>
            </w:pPr>
            <w:r>
              <w:rPr>
                <w:rFonts w:hint="eastAsia" w:ascii="微软雅黑" w:hAnsi="微软雅黑" w:eastAsia="微软雅黑"/>
                <w:sz w:val="28"/>
                <w:szCs w:val="28"/>
              </w:rPr>
              <w:t>25</w:t>
            </w:r>
          </w:p>
        </w:tc>
        <w:tc>
          <w:tcPr>
            <w:tcW w:w="1020" w:type="dxa"/>
            <w:tcBorders>
              <w:top w:val="single" w:color="auto" w:sz="4" w:space="0"/>
              <w:left w:val="nil"/>
              <w:bottom w:val="single" w:color="auto" w:sz="4" w:space="0"/>
              <w:right w:val="single" w:color="auto" w:sz="4" w:space="0"/>
            </w:tcBorders>
            <w:noWrap/>
            <w:vAlign w:val="center"/>
          </w:tcPr>
          <w:p w14:paraId="6C34B12A">
            <w:pPr>
              <w:jc w:val="center"/>
              <w:rPr>
                <w:rFonts w:ascii="微软雅黑" w:hAnsi="微软雅黑" w:eastAsia="微软雅黑"/>
                <w:sz w:val="28"/>
                <w:szCs w:val="28"/>
              </w:rPr>
            </w:pPr>
            <w:r>
              <w:rPr>
                <w:rFonts w:hint="eastAsia" w:ascii="微软雅黑" w:hAnsi="微软雅黑" w:eastAsia="微软雅黑"/>
                <w:sz w:val="28"/>
                <w:szCs w:val="28"/>
              </w:rPr>
              <w:t>12.5</w:t>
            </w:r>
          </w:p>
        </w:tc>
        <w:tc>
          <w:tcPr>
            <w:tcW w:w="1080" w:type="dxa"/>
            <w:tcBorders>
              <w:top w:val="single" w:color="auto" w:sz="4" w:space="0"/>
              <w:left w:val="nil"/>
              <w:bottom w:val="single" w:color="auto" w:sz="4" w:space="0"/>
              <w:right w:val="single" w:color="auto" w:sz="4" w:space="0"/>
            </w:tcBorders>
            <w:noWrap/>
            <w:vAlign w:val="center"/>
          </w:tcPr>
          <w:p w14:paraId="5F992AAD">
            <w:pPr>
              <w:jc w:val="center"/>
              <w:rPr>
                <w:rFonts w:ascii="微软雅黑" w:hAnsi="微软雅黑" w:eastAsia="微软雅黑"/>
                <w:sz w:val="28"/>
                <w:szCs w:val="28"/>
              </w:rPr>
            </w:pPr>
            <w:r>
              <w:rPr>
                <w:rFonts w:hint="eastAsia" w:ascii="微软雅黑" w:hAnsi="微软雅黑" w:eastAsia="微软雅黑"/>
                <w:sz w:val="28"/>
                <w:szCs w:val="28"/>
              </w:rPr>
              <w:t>6.25</w:t>
            </w:r>
          </w:p>
        </w:tc>
        <w:tc>
          <w:tcPr>
            <w:tcW w:w="1140" w:type="dxa"/>
            <w:tcBorders>
              <w:top w:val="single" w:color="auto" w:sz="4" w:space="0"/>
              <w:left w:val="nil"/>
              <w:bottom w:val="single" w:color="auto" w:sz="4" w:space="0"/>
              <w:right w:val="single" w:color="auto" w:sz="4" w:space="0"/>
            </w:tcBorders>
            <w:noWrap/>
            <w:vAlign w:val="center"/>
          </w:tcPr>
          <w:p w14:paraId="6F09C8BF">
            <w:pPr>
              <w:jc w:val="center"/>
              <w:rPr>
                <w:rFonts w:ascii="微软雅黑" w:hAnsi="微软雅黑" w:eastAsia="微软雅黑"/>
                <w:sz w:val="28"/>
                <w:szCs w:val="28"/>
              </w:rPr>
            </w:pPr>
            <w:r>
              <w:rPr>
                <w:rFonts w:hint="eastAsia" w:ascii="微软雅黑" w:hAnsi="微软雅黑" w:eastAsia="微软雅黑"/>
                <w:sz w:val="28"/>
                <w:szCs w:val="28"/>
              </w:rPr>
              <w:t>3.1</w:t>
            </w:r>
            <w:r>
              <w:rPr>
                <w:rFonts w:ascii="微软雅黑" w:hAnsi="微软雅黑" w:eastAsia="微软雅黑"/>
                <w:sz w:val="28"/>
                <w:szCs w:val="28"/>
              </w:rPr>
              <w:t>3</w:t>
            </w:r>
          </w:p>
        </w:tc>
        <w:tc>
          <w:tcPr>
            <w:tcW w:w="1152" w:type="dxa"/>
            <w:tcBorders>
              <w:top w:val="single" w:color="auto" w:sz="4" w:space="0"/>
              <w:left w:val="nil"/>
              <w:bottom w:val="single" w:color="auto" w:sz="4" w:space="0"/>
              <w:right w:val="single" w:color="auto" w:sz="4" w:space="0"/>
            </w:tcBorders>
            <w:noWrap/>
            <w:vAlign w:val="center"/>
          </w:tcPr>
          <w:p w14:paraId="0BE9F568">
            <w:pPr>
              <w:jc w:val="center"/>
              <w:rPr>
                <w:rFonts w:ascii="微软雅黑" w:hAnsi="微软雅黑" w:eastAsia="微软雅黑"/>
                <w:sz w:val="28"/>
                <w:szCs w:val="28"/>
              </w:rPr>
            </w:pPr>
            <w:r>
              <w:rPr>
                <w:rFonts w:hint="eastAsia" w:ascii="微软雅黑" w:hAnsi="微软雅黑" w:eastAsia="微软雅黑"/>
                <w:sz w:val="28"/>
                <w:szCs w:val="28"/>
              </w:rPr>
              <w:t>1.56</w:t>
            </w:r>
            <w:r>
              <w:rPr>
                <w:rFonts w:ascii="微软雅黑" w:hAnsi="微软雅黑" w:eastAsia="微软雅黑"/>
                <w:sz w:val="28"/>
                <w:szCs w:val="28"/>
              </w:rPr>
              <w:t xml:space="preserve"> </w:t>
            </w:r>
          </w:p>
        </w:tc>
        <w:tc>
          <w:tcPr>
            <w:tcW w:w="1133" w:type="dxa"/>
            <w:tcBorders>
              <w:top w:val="single" w:color="auto" w:sz="4" w:space="0"/>
              <w:left w:val="nil"/>
              <w:bottom w:val="single" w:color="auto" w:sz="4" w:space="0"/>
              <w:right w:val="single" w:color="auto" w:sz="4" w:space="0"/>
            </w:tcBorders>
            <w:noWrap/>
            <w:vAlign w:val="center"/>
          </w:tcPr>
          <w:p w14:paraId="27CB5691">
            <w:pPr>
              <w:jc w:val="center"/>
              <w:rPr>
                <w:rFonts w:ascii="微软雅黑" w:hAnsi="微软雅黑" w:eastAsia="微软雅黑"/>
                <w:sz w:val="28"/>
                <w:szCs w:val="28"/>
              </w:rPr>
            </w:pPr>
            <w:r>
              <w:rPr>
                <w:rFonts w:hint="eastAsia" w:ascii="微软雅黑" w:hAnsi="微软雅黑" w:eastAsia="微软雅黑"/>
                <w:color w:val="000000"/>
                <w:sz w:val="28"/>
                <w:szCs w:val="28"/>
              </w:rPr>
              <w:t>0.78</w:t>
            </w:r>
          </w:p>
        </w:tc>
        <w:tc>
          <w:tcPr>
            <w:tcW w:w="964" w:type="dxa"/>
            <w:tcBorders>
              <w:top w:val="single" w:color="auto" w:sz="4" w:space="0"/>
              <w:left w:val="nil"/>
              <w:bottom w:val="single" w:color="auto" w:sz="4" w:space="0"/>
              <w:right w:val="single" w:color="auto" w:sz="4" w:space="0"/>
            </w:tcBorders>
            <w:noWrap/>
            <w:vAlign w:val="center"/>
          </w:tcPr>
          <w:p w14:paraId="512CB1C6">
            <w:pPr>
              <w:jc w:val="center"/>
              <w:rPr>
                <w:rFonts w:ascii="微软雅黑" w:hAnsi="微软雅黑" w:eastAsia="微软雅黑"/>
                <w:sz w:val="28"/>
                <w:szCs w:val="28"/>
              </w:rPr>
            </w:pPr>
            <w:r>
              <w:rPr>
                <w:rFonts w:hint="eastAsia" w:ascii="微软雅黑" w:hAnsi="微软雅黑" w:eastAsia="微软雅黑"/>
                <w:sz w:val="28"/>
                <w:szCs w:val="28"/>
              </w:rPr>
              <w:t>0</w:t>
            </w:r>
          </w:p>
        </w:tc>
      </w:tr>
      <w:tr w14:paraId="5C614EFE">
        <w:tblPrEx>
          <w:tblCellMar>
            <w:top w:w="0" w:type="dxa"/>
            <w:left w:w="108" w:type="dxa"/>
            <w:bottom w:w="0" w:type="dxa"/>
            <w:right w:w="108" w:type="dxa"/>
          </w:tblCellMar>
        </w:tblPrEx>
        <w:trPr>
          <w:trHeight w:val="561" w:hRule="atLeast"/>
          <w:jc w:val="center"/>
        </w:trPr>
        <w:tc>
          <w:tcPr>
            <w:tcW w:w="2113" w:type="dxa"/>
            <w:tcBorders>
              <w:top w:val="nil"/>
              <w:left w:val="single" w:color="auto" w:sz="4" w:space="0"/>
              <w:bottom w:val="single" w:color="auto" w:sz="4" w:space="0"/>
              <w:right w:val="single" w:color="auto" w:sz="4" w:space="0"/>
            </w:tcBorders>
            <w:noWrap/>
            <w:vAlign w:val="center"/>
          </w:tcPr>
          <w:p w14:paraId="5504662B">
            <w:pPr>
              <w:jc w:val="center"/>
              <w:rPr>
                <w:rFonts w:ascii="微软雅黑" w:hAnsi="微软雅黑" w:eastAsia="微软雅黑"/>
                <w:color w:val="000000"/>
                <w:sz w:val="28"/>
                <w:szCs w:val="28"/>
              </w:rPr>
            </w:pP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08" w:type="dxa"/>
            <w:tcBorders>
              <w:top w:val="nil"/>
              <w:left w:val="nil"/>
              <w:bottom w:val="single" w:color="auto" w:sz="4" w:space="0"/>
              <w:right w:val="single" w:color="auto" w:sz="4" w:space="0"/>
            </w:tcBorders>
            <w:noWrap/>
            <w:vAlign w:val="bottom"/>
          </w:tcPr>
          <w:p w14:paraId="71C0582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2.586</w:t>
            </w:r>
          </w:p>
        </w:tc>
        <w:tc>
          <w:tcPr>
            <w:tcW w:w="960" w:type="dxa"/>
            <w:tcBorders>
              <w:top w:val="nil"/>
              <w:left w:val="nil"/>
              <w:bottom w:val="single" w:color="auto" w:sz="4" w:space="0"/>
              <w:right w:val="single" w:color="auto" w:sz="4" w:space="0"/>
            </w:tcBorders>
            <w:noWrap/>
            <w:vAlign w:val="bottom"/>
          </w:tcPr>
          <w:p w14:paraId="31C45F8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1.785</w:t>
            </w:r>
          </w:p>
        </w:tc>
        <w:tc>
          <w:tcPr>
            <w:tcW w:w="1020" w:type="dxa"/>
            <w:tcBorders>
              <w:top w:val="nil"/>
              <w:left w:val="nil"/>
              <w:bottom w:val="single" w:color="auto" w:sz="4" w:space="0"/>
              <w:right w:val="single" w:color="auto" w:sz="4" w:space="0"/>
            </w:tcBorders>
            <w:noWrap/>
            <w:vAlign w:val="bottom"/>
          </w:tcPr>
          <w:p w14:paraId="5ABBD70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1.098</w:t>
            </w:r>
          </w:p>
        </w:tc>
        <w:tc>
          <w:tcPr>
            <w:tcW w:w="1080" w:type="dxa"/>
            <w:tcBorders>
              <w:top w:val="nil"/>
              <w:left w:val="nil"/>
              <w:bottom w:val="single" w:color="auto" w:sz="4" w:space="0"/>
              <w:right w:val="single" w:color="auto" w:sz="4" w:space="0"/>
            </w:tcBorders>
            <w:noWrap/>
            <w:vAlign w:val="bottom"/>
          </w:tcPr>
          <w:p w14:paraId="4EE9CE6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0.613</w:t>
            </w:r>
          </w:p>
        </w:tc>
        <w:tc>
          <w:tcPr>
            <w:tcW w:w="1140" w:type="dxa"/>
            <w:tcBorders>
              <w:top w:val="nil"/>
              <w:left w:val="nil"/>
              <w:bottom w:val="single" w:color="auto" w:sz="4" w:space="0"/>
              <w:right w:val="single" w:color="auto" w:sz="4" w:space="0"/>
            </w:tcBorders>
            <w:noWrap/>
            <w:vAlign w:val="bottom"/>
          </w:tcPr>
          <w:p w14:paraId="5FB050D7">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0.43</w:t>
            </w:r>
          </w:p>
        </w:tc>
        <w:tc>
          <w:tcPr>
            <w:tcW w:w="1152" w:type="dxa"/>
            <w:tcBorders>
              <w:top w:val="nil"/>
              <w:left w:val="nil"/>
              <w:bottom w:val="single" w:color="auto" w:sz="4" w:space="0"/>
              <w:right w:val="single" w:color="auto" w:sz="4" w:space="0"/>
            </w:tcBorders>
            <w:noWrap/>
            <w:vAlign w:val="bottom"/>
          </w:tcPr>
          <w:p w14:paraId="79D82E2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0.235</w:t>
            </w:r>
          </w:p>
        </w:tc>
        <w:tc>
          <w:tcPr>
            <w:tcW w:w="1133" w:type="dxa"/>
            <w:tcBorders>
              <w:top w:val="nil"/>
              <w:left w:val="nil"/>
              <w:bottom w:val="single" w:color="auto" w:sz="4" w:space="0"/>
              <w:right w:val="single" w:color="auto" w:sz="4" w:space="0"/>
            </w:tcBorders>
            <w:noWrap/>
            <w:vAlign w:val="bottom"/>
          </w:tcPr>
          <w:p w14:paraId="13B32E7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0.135</w:t>
            </w:r>
          </w:p>
        </w:tc>
        <w:tc>
          <w:tcPr>
            <w:tcW w:w="964" w:type="dxa"/>
            <w:tcBorders>
              <w:top w:val="nil"/>
              <w:left w:val="nil"/>
              <w:bottom w:val="single" w:color="auto" w:sz="4" w:space="0"/>
              <w:right w:val="single" w:color="auto" w:sz="4" w:space="0"/>
            </w:tcBorders>
            <w:noWrap/>
            <w:vAlign w:val="bottom"/>
          </w:tcPr>
          <w:p w14:paraId="641A51BA">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0.064</w:t>
            </w:r>
          </w:p>
        </w:tc>
      </w:tr>
      <w:tr w14:paraId="1CF6FD1E">
        <w:tblPrEx>
          <w:tblCellMar>
            <w:top w:w="0" w:type="dxa"/>
            <w:left w:w="108" w:type="dxa"/>
            <w:bottom w:w="0" w:type="dxa"/>
            <w:right w:w="108" w:type="dxa"/>
          </w:tblCellMar>
        </w:tblPrEx>
        <w:trPr>
          <w:trHeight w:val="571" w:hRule="atLeast"/>
          <w:jc w:val="center"/>
        </w:trPr>
        <w:tc>
          <w:tcPr>
            <w:tcW w:w="2113" w:type="dxa"/>
            <w:tcBorders>
              <w:top w:val="nil"/>
              <w:left w:val="single" w:color="auto" w:sz="4" w:space="0"/>
              <w:bottom w:val="single" w:color="auto" w:sz="4" w:space="0"/>
              <w:right w:val="single" w:color="auto" w:sz="4" w:space="0"/>
            </w:tcBorders>
            <w:noWrap/>
            <w:vAlign w:val="center"/>
          </w:tcPr>
          <w:p w14:paraId="13A196BA">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校正</w:t>
            </w: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08" w:type="dxa"/>
            <w:tcBorders>
              <w:top w:val="nil"/>
              <w:left w:val="nil"/>
              <w:bottom w:val="single" w:color="auto" w:sz="4" w:space="0"/>
              <w:right w:val="single" w:color="auto" w:sz="4" w:space="0"/>
            </w:tcBorders>
            <w:noWrap/>
            <w:vAlign w:val="bottom"/>
          </w:tcPr>
          <w:p w14:paraId="0138007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2.522 </w:t>
            </w:r>
          </w:p>
        </w:tc>
        <w:tc>
          <w:tcPr>
            <w:tcW w:w="960" w:type="dxa"/>
            <w:tcBorders>
              <w:top w:val="nil"/>
              <w:left w:val="nil"/>
              <w:bottom w:val="single" w:color="auto" w:sz="4" w:space="0"/>
              <w:right w:val="single" w:color="auto" w:sz="4" w:space="0"/>
            </w:tcBorders>
            <w:noWrap/>
            <w:vAlign w:val="bottom"/>
          </w:tcPr>
          <w:p w14:paraId="5B6AE74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1.721</w:t>
            </w:r>
          </w:p>
        </w:tc>
        <w:tc>
          <w:tcPr>
            <w:tcW w:w="1020" w:type="dxa"/>
            <w:tcBorders>
              <w:top w:val="nil"/>
              <w:left w:val="nil"/>
              <w:bottom w:val="single" w:color="auto" w:sz="4" w:space="0"/>
              <w:right w:val="single" w:color="auto" w:sz="4" w:space="0"/>
            </w:tcBorders>
            <w:noWrap/>
            <w:vAlign w:val="bottom"/>
          </w:tcPr>
          <w:p w14:paraId="0BECBBF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1.034</w:t>
            </w:r>
          </w:p>
        </w:tc>
        <w:tc>
          <w:tcPr>
            <w:tcW w:w="1080" w:type="dxa"/>
            <w:tcBorders>
              <w:top w:val="nil"/>
              <w:left w:val="nil"/>
              <w:bottom w:val="single" w:color="auto" w:sz="4" w:space="0"/>
              <w:right w:val="single" w:color="auto" w:sz="4" w:space="0"/>
            </w:tcBorders>
            <w:noWrap/>
            <w:vAlign w:val="bottom"/>
          </w:tcPr>
          <w:p w14:paraId="154DBF1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0.549</w:t>
            </w:r>
          </w:p>
        </w:tc>
        <w:tc>
          <w:tcPr>
            <w:tcW w:w="1140" w:type="dxa"/>
            <w:tcBorders>
              <w:top w:val="nil"/>
              <w:left w:val="nil"/>
              <w:bottom w:val="single" w:color="auto" w:sz="4" w:space="0"/>
              <w:right w:val="single" w:color="auto" w:sz="4" w:space="0"/>
            </w:tcBorders>
            <w:noWrap/>
            <w:vAlign w:val="bottom"/>
          </w:tcPr>
          <w:p w14:paraId="7818E5E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0.366</w:t>
            </w:r>
          </w:p>
        </w:tc>
        <w:tc>
          <w:tcPr>
            <w:tcW w:w="1152" w:type="dxa"/>
            <w:tcBorders>
              <w:top w:val="nil"/>
              <w:left w:val="nil"/>
              <w:bottom w:val="single" w:color="auto" w:sz="4" w:space="0"/>
              <w:right w:val="single" w:color="auto" w:sz="4" w:space="0"/>
            </w:tcBorders>
            <w:noWrap/>
            <w:vAlign w:val="bottom"/>
          </w:tcPr>
          <w:p w14:paraId="01DED25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0.171</w:t>
            </w:r>
          </w:p>
        </w:tc>
        <w:tc>
          <w:tcPr>
            <w:tcW w:w="1133" w:type="dxa"/>
            <w:tcBorders>
              <w:top w:val="nil"/>
              <w:left w:val="nil"/>
              <w:bottom w:val="single" w:color="auto" w:sz="4" w:space="0"/>
              <w:right w:val="single" w:color="auto" w:sz="4" w:space="0"/>
            </w:tcBorders>
            <w:noWrap/>
            <w:vAlign w:val="bottom"/>
          </w:tcPr>
          <w:p w14:paraId="6178DB7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0.071</w:t>
            </w:r>
          </w:p>
        </w:tc>
        <w:tc>
          <w:tcPr>
            <w:tcW w:w="964" w:type="dxa"/>
            <w:tcBorders>
              <w:top w:val="nil"/>
              <w:left w:val="nil"/>
              <w:bottom w:val="single" w:color="auto" w:sz="4" w:space="0"/>
              <w:right w:val="single" w:color="auto" w:sz="4" w:space="0"/>
            </w:tcBorders>
            <w:noWrap/>
            <w:vAlign w:val="bottom"/>
          </w:tcPr>
          <w:p w14:paraId="0B9F6216">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w:t>
            </w:r>
          </w:p>
        </w:tc>
      </w:tr>
    </w:tbl>
    <w:p w14:paraId="68646CB8">
      <w:pPr>
        <w:rPr>
          <w:rFonts w:ascii="微软雅黑" w:hAnsi="微软雅黑" w:eastAsia="微软雅黑"/>
          <w:sz w:val="28"/>
          <w:szCs w:val="28"/>
        </w:rPr>
      </w:pPr>
    </w:p>
    <w:p w14:paraId="548068F0">
      <w:pPr>
        <w:pStyle w:val="17"/>
        <w:spacing w:line="320" w:lineRule="atLeast"/>
        <w:ind w:right="93"/>
        <w:rPr>
          <w:rFonts w:ascii="微软雅黑" w:hAnsi="微软雅黑" w:eastAsia="微软雅黑"/>
          <w:b/>
          <w:color w:val="00B050"/>
          <w:sz w:val="28"/>
          <w:szCs w:val="28"/>
        </w:rPr>
      </w:pPr>
      <w:bookmarkStart w:id="12" w:name="_Toc164420467"/>
    </w:p>
    <w:p w14:paraId="5D12F686">
      <w:pPr>
        <w:rPr>
          <w:rFonts w:ascii="微软雅黑" w:hAnsi="微软雅黑" w:eastAsia="微软雅黑"/>
          <w:sz w:val="32"/>
          <w:szCs w:val="32"/>
        </w:rPr>
      </w:pPr>
    </w:p>
    <w:p w14:paraId="541C8282">
      <w:pPr>
        <w:pStyle w:val="6"/>
        <w:rPr>
          <w:rFonts w:ascii="微软雅黑" w:hAnsi="微软雅黑" w:eastAsia="微软雅黑"/>
          <w:sz w:val="32"/>
        </w:rPr>
      </w:pPr>
      <w:r>
        <w:rPr>
          <w:rFonts w:ascii="微软雅黑" w:hAnsi="微软雅黑" w:eastAsia="微软雅黑"/>
          <w:sz w:val="28"/>
          <w:szCs w:val="28"/>
        </w:rPr>
        <w:drawing>
          <wp:anchor distT="0" distB="0" distL="114300" distR="114300" simplePos="0" relativeHeight="251664384" behindDoc="0" locked="0" layoutInCell="1" allowOverlap="1">
            <wp:simplePos x="0" y="0"/>
            <wp:positionH relativeFrom="column">
              <wp:posOffset>21590</wp:posOffset>
            </wp:positionH>
            <wp:positionV relativeFrom="paragraph">
              <wp:posOffset>41275</wp:posOffset>
            </wp:positionV>
            <wp:extent cx="3761740" cy="2879725"/>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2000" cy="2880000"/>
                    </a:xfrm>
                    <a:prstGeom prst="rect">
                      <a:avLst/>
                    </a:prstGeom>
                  </pic:spPr>
                </pic:pic>
              </a:graphicData>
            </a:graphic>
          </wp:anchor>
        </w:drawing>
      </w:r>
    </w:p>
    <w:p w14:paraId="1D6553A4"/>
    <w:p w14:paraId="0D75FAFE">
      <w:pPr>
        <w:pStyle w:val="17"/>
        <w:spacing w:line="320" w:lineRule="atLeast"/>
        <w:ind w:right="93"/>
        <w:rPr>
          <w:rFonts w:ascii="微软雅黑" w:hAnsi="微软雅黑" w:eastAsia="微软雅黑"/>
          <w:b/>
          <w:color w:val="00B050"/>
          <w:sz w:val="28"/>
          <w:szCs w:val="28"/>
        </w:rPr>
      </w:pPr>
      <w:r>
        <w:rPr>
          <w:rFonts w:hint="eastAsia" w:ascii="微软雅黑" w:hAnsi="微软雅黑" w:eastAsia="微软雅黑"/>
          <w:b/>
          <w:color w:val="00B050"/>
          <w:sz w:val="28"/>
          <w:szCs w:val="28"/>
        </w:rPr>
        <w:t>本图所示标准曲线仅供示例，结果计算应以同次试验标准品所绘标准曲线为准计算样本结果。</w:t>
      </w:r>
    </w:p>
    <w:p w14:paraId="6D2721D0">
      <w:pPr>
        <w:pStyle w:val="6"/>
        <w:rPr>
          <w:rFonts w:ascii="微软雅黑" w:hAnsi="微软雅黑" w:eastAsia="微软雅黑"/>
          <w:color w:val="auto"/>
          <w:sz w:val="32"/>
        </w:rPr>
      </w:pP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t>精密度</w:t>
      </w:r>
      <w:bookmarkEnd w:id="12"/>
    </w:p>
    <w:p w14:paraId="428B5040">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操作内精密度</w:t>
      </w:r>
      <w:r>
        <w:rPr>
          <w:rFonts w:hint="eastAsia" w:ascii="微软雅黑" w:hAnsi="微软雅黑" w:eastAsia="微软雅黑" w:cs="Times New Roman"/>
          <w:color w:val="auto"/>
          <w:sz w:val="32"/>
          <w:szCs w:val="32"/>
        </w:rPr>
        <w:t>（测定中的精密度）在一块平板上对两个已知浓度的样品进行</w:t>
      </w:r>
      <w:r>
        <w:rPr>
          <w:rFonts w:ascii="微软雅黑" w:hAnsi="微软雅黑" w:eastAsia="微软雅黑" w:cs="Times New Roman"/>
          <w:color w:val="auto"/>
          <w:sz w:val="32"/>
          <w:szCs w:val="32"/>
        </w:rPr>
        <w:t>20</w:t>
      </w:r>
      <w:r>
        <w:rPr>
          <w:rFonts w:hint="eastAsia" w:ascii="微软雅黑" w:hAnsi="微软雅黑" w:eastAsia="微软雅黑" w:cs="Times New Roman"/>
          <w:color w:val="auto"/>
          <w:sz w:val="32"/>
          <w:szCs w:val="32"/>
        </w:rPr>
        <w:t>次测试，以评估测定内精密性。</w:t>
      </w:r>
    </w:p>
    <w:p w14:paraId="22324D63">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操作间精度</w:t>
      </w:r>
      <w:r>
        <w:rPr>
          <w:rFonts w:hint="eastAsia" w:ascii="微软雅黑" w:hAnsi="微软雅黑" w:eastAsia="微软雅黑" w:cs="Times New Roman"/>
          <w:color w:val="auto"/>
          <w:sz w:val="32"/>
          <w:szCs w:val="32"/>
        </w:rPr>
        <w:t>（测定间精度）在</w:t>
      </w:r>
      <w:r>
        <w:rPr>
          <w:rFonts w:ascii="微软雅黑" w:hAnsi="微软雅黑" w:eastAsia="微软雅黑" w:cs="Times New Roman"/>
          <w:color w:val="auto"/>
          <w:sz w:val="32"/>
          <w:szCs w:val="32"/>
        </w:rPr>
        <w:t>10</w:t>
      </w:r>
      <w:r>
        <w:rPr>
          <w:rFonts w:hint="eastAsia" w:ascii="微软雅黑" w:hAnsi="微软雅黑" w:eastAsia="微软雅黑" w:cs="Times New Roman"/>
          <w:color w:val="auto"/>
          <w:sz w:val="32"/>
          <w:szCs w:val="32"/>
        </w:rPr>
        <w:t>个单独的测定中测试两个已知浓度的样品，以评估测定间精度。至少有三名技术人员进行了实验。</w:t>
      </w:r>
    </w:p>
    <w:p w14:paraId="610D50E7">
      <w:pPr>
        <w:pStyle w:val="12"/>
        <w:ind w:firstLine="600" w:firstLineChars="200"/>
        <w:rPr>
          <w:rFonts w:ascii="微软雅黑" w:hAnsi="微软雅黑" w:eastAsia="微软雅黑" w:cs="Times New Roman"/>
          <w:color w:val="auto"/>
          <w:sz w:val="30"/>
          <w:szCs w:val="30"/>
        </w:rPr>
      </w:pPr>
    </w:p>
    <w:tbl>
      <w:tblPr>
        <w:tblStyle w:val="7"/>
        <w:tblW w:w="0" w:type="auto"/>
        <w:jc w:val="center"/>
        <w:tblLayout w:type="fixed"/>
        <w:tblCellMar>
          <w:top w:w="0" w:type="dxa"/>
          <w:left w:w="108" w:type="dxa"/>
          <w:bottom w:w="0" w:type="dxa"/>
          <w:right w:w="108" w:type="dxa"/>
        </w:tblCellMar>
      </w:tblPr>
      <w:tblGrid>
        <w:gridCol w:w="2659"/>
        <w:gridCol w:w="1507"/>
        <w:gridCol w:w="1507"/>
        <w:gridCol w:w="1507"/>
        <w:gridCol w:w="1508"/>
      </w:tblGrid>
      <w:tr w14:paraId="669FF886">
        <w:tblPrEx>
          <w:tblCellMar>
            <w:top w:w="0" w:type="dxa"/>
            <w:left w:w="108" w:type="dxa"/>
            <w:bottom w:w="0" w:type="dxa"/>
            <w:right w:w="108" w:type="dxa"/>
          </w:tblCellMar>
        </w:tblPrEx>
        <w:trPr>
          <w:trHeight w:val="498" w:hRule="atLeast"/>
          <w:jc w:val="center"/>
        </w:trPr>
        <w:tc>
          <w:tcPr>
            <w:tcW w:w="2659" w:type="dxa"/>
            <w:tcBorders>
              <w:top w:val="single" w:color="auto" w:sz="4" w:space="0"/>
              <w:left w:val="single" w:color="auto" w:sz="4" w:space="0"/>
              <w:bottom w:val="single" w:color="auto" w:sz="4" w:space="0"/>
              <w:right w:val="single" w:color="auto" w:sz="4" w:space="0"/>
            </w:tcBorders>
            <w:noWrap/>
            <w:vAlign w:val="center"/>
          </w:tcPr>
          <w:p w14:paraId="00517ABB">
            <w:pPr>
              <w:jc w:val="center"/>
              <w:rPr>
                <w:rFonts w:ascii="微软雅黑" w:hAnsi="微软雅黑" w:eastAsia="微软雅黑"/>
                <w:color w:val="000000"/>
                <w:sz w:val="28"/>
                <w:szCs w:val="28"/>
              </w:rPr>
            </w:pPr>
          </w:p>
        </w:tc>
        <w:tc>
          <w:tcPr>
            <w:tcW w:w="3014" w:type="dxa"/>
            <w:gridSpan w:val="2"/>
            <w:tcBorders>
              <w:top w:val="single" w:color="auto" w:sz="4" w:space="0"/>
              <w:left w:val="nil"/>
              <w:bottom w:val="single" w:color="auto" w:sz="4" w:space="0"/>
              <w:right w:val="single" w:color="auto" w:sz="4" w:space="0"/>
            </w:tcBorders>
            <w:noWrap/>
            <w:vAlign w:val="center"/>
          </w:tcPr>
          <w:p w14:paraId="1B266CB3">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操作内精密度</w:t>
            </w:r>
          </w:p>
        </w:tc>
        <w:tc>
          <w:tcPr>
            <w:tcW w:w="3015" w:type="dxa"/>
            <w:gridSpan w:val="2"/>
            <w:tcBorders>
              <w:top w:val="single" w:color="auto" w:sz="4" w:space="0"/>
              <w:left w:val="nil"/>
              <w:bottom w:val="single" w:color="auto" w:sz="4" w:space="0"/>
              <w:right w:val="single" w:color="auto" w:sz="4" w:space="0"/>
            </w:tcBorders>
            <w:noWrap/>
            <w:vAlign w:val="center"/>
          </w:tcPr>
          <w:p w14:paraId="1CD1054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操作间精密度</w:t>
            </w:r>
          </w:p>
        </w:tc>
      </w:tr>
      <w:tr w14:paraId="78CC1D11">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2C9BE44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样本</w:t>
            </w:r>
          </w:p>
        </w:tc>
        <w:tc>
          <w:tcPr>
            <w:tcW w:w="1507" w:type="dxa"/>
            <w:tcBorders>
              <w:top w:val="nil"/>
              <w:left w:val="nil"/>
              <w:bottom w:val="single" w:color="auto" w:sz="4" w:space="0"/>
              <w:right w:val="single" w:color="auto" w:sz="4" w:space="0"/>
            </w:tcBorders>
            <w:noWrap/>
            <w:vAlign w:val="center"/>
          </w:tcPr>
          <w:p w14:paraId="31BF137B">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7" w:type="dxa"/>
            <w:tcBorders>
              <w:top w:val="nil"/>
              <w:left w:val="nil"/>
              <w:bottom w:val="single" w:color="auto" w:sz="4" w:space="0"/>
              <w:right w:val="single" w:color="auto" w:sz="4" w:space="0"/>
            </w:tcBorders>
            <w:noWrap/>
            <w:vAlign w:val="center"/>
          </w:tcPr>
          <w:p w14:paraId="74A8C989">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c>
          <w:tcPr>
            <w:tcW w:w="1507" w:type="dxa"/>
            <w:tcBorders>
              <w:top w:val="nil"/>
              <w:left w:val="nil"/>
              <w:bottom w:val="single" w:color="auto" w:sz="4" w:space="0"/>
              <w:right w:val="single" w:color="auto" w:sz="4" w:space="0"/>
            </w:tcBorders>
            <w:noWrap/>
            <w:vAlign w:val="center"/>
          </w:tcPr>
          <w:p w14:paraId="6542DB96">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8" w:type="dxa"/>
            <w:tcBorders>
              <w:top w:val="nil"/>
              <w:left w:val="nil"/>
              <w:bottom w:val="single" w:color="auto" w:sz="4" w:space="0"/>
              <w:right w:val="single" w:color="auto" w:sz="4" w:space="0"/>
            </w:tcBorders>
            <w:noWrap/>
            <w:vAlign w:val="center"/>
          </w:tcPr>
          <w:p w14:paraId="3BFD0655">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r>
      <w:tr w14:paraId="28270BD8">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6CE030E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测定次数（</w:t>
            </w:r>
            <w:r>
              <w:rPr>
                <w:rFonts w:ascii="微软雅黑" w:hAnsi="微软雅黑" w:eastAsia="微软雅黑"/>
                <w:color w:val="000000"/>
                <w:sz w:val="28"/>
                <w:szCs w:val="28"/>
              </w:rPr>
              <w:t>n</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6F47318E">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39EA98AC">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428CB7A4">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c>
          <w:tcPr>
            <w:tcW w:w="1508" w:type="dxa"/>
            <w:tcBorders>
              <w:top w:val="nil"/>
              <w:left w:val="nil"/>
              <w:bottom w:val="single" w:color="auto" w:sz="4" w:space="0"/>
              <w:right w:val="single" w:color="auto" w:sz="4" w:space="0"/>
            </w:tcBorders>
            <w:noWrap/>
            <w:vAlign w:val="center"/>
          </w:tcPr>
          <w:p w14:paraId="468B7122">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r>
      <w:tr w14:paraId="1FF3FF37">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4918323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平均值</w:t>
            </w:r>
            <w:r>
              <w:rPr>
                <w:rFonts w:ascii="微软雅黑" w:hAnsi="微软雅黑" w:eastAsia="微软雅黑"/>
                <w:color w:val="000000"/>
                <w:sz w:val="28"/>
                <w:szCs w:val="28"/>
              </w:rPr>
              <w:t>M</w:t>
            </w:r>
            <w:r>
              <w:rPr>
                <w:rFonts w:hint="eastAsia" w:ascii="微软雅黑" w:hAnsi="微软雅黑" w:eastAsia="微软雅黑"/>
                <w:color w:val="000000"/>
                <w:sz w:val="28"/>
                <w:szCs w:val="28"/>
              </w:rPr>
              <w:t>（n</w:t>
            </w:r>
            <w:r>
              <w:rPr>
                <w:rFonts w:ascii="微软雅黑" w:hAnsi="微软雅黑" w:eastAsia="微软雅黑"/>
                <w:sz w:val="28"/>
                <w:szCs w:val="28"/>
              </w:rPr>
              <w:t>g/mL</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21D0393F">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38.44</w:t>
            </w:r>
          </w:p>
        </w:tc>
        <w:tc>
          <w:tcPr>
            <w:tcW w:w="1507" w:type="dxa"/>
            <w:tcBorders>
              <w:top w:val="nil"/>
              <w:left w:val="nil"/>
              <w:bottom w:val="single" w:color="auto" w:sz="4" w:space="0"/>
              <w:right w:val="single" w:color="auto" w:sz="4" w:space="0"/>
            </w:tcBorders>
            <w:noWrap/>
            <w:vAlign w:val="center"/>
          </w:tcPr>
          <w:p w14:paraId="1E8EE79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8.70</w:t>
            </w:r>
          </w:p>
        </w:tc>
        <w:tc>
          <w:tcPr>
            <w:tcW w:w="1507" w:type="dxa"/>
            <w:tcBorders>
              <w:top w:val="nil"/>
              <w:left w:val="nil"/>
              <w:bottom w:val="single" w:color="auto" w:sz="4" w:space="0"/>
              <w:right w:val="single" w:color="auto" w:sz="4" w:space="0"/>
            </w:tcBorders>
            <w:noWrap/>
            <w:vAlign w:val="center"/>
          </w:tcPr>
          <w:p w14:paraId="263FB82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36.19</w:t>
            </w:r>
          </w:p>
        </w:tc>
        <w:tc>
          <w:tcPr>
            <w:tcW w:w="1508" w:type="dxa"/>
            <w:tcBorders>
              <w:top w:val="nil"/>
              <w:left w:val="nil"/>
              <w:bottom w:val="single" w:color="auto" w:sz="4" w:space="0"/>
              <w:right w:val="single" w:color="auto" w:sz="4" w:space="0"/>
            </w:tcBorders>
            <w:noWrap/>
            <w:vAlign w:val="center"/>
          </w:tcPr>
          <w:p w14:paraId="7FCE77E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9.68</w:t>
            </w:r>
          </w:p>
        </w:tc>
      </w:tr>
      <w:tr w14:paraId="23101A8B">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5335D13B">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标准差</w:t>
            </w:r>
            <w:r>
              <w:rPr>
                <w:rFonts w:ascii="微软雅黑" w:hAnsi="微软雅黑" w:eastAsia="微软雅黑"/>
                <w:color w:val="000000"/>
                <w:sz w:val="28"/>
                <w:szCs w:val="28"/>
              </w:rPr>
              <w:t>SD</w:t>
            </w:r>
          </w:p>
        </w:tc>
        <w:tc>
          <w:tcPr>
            <w:tcW w:w="1507" w:type="dxa"/>
            <w:tcBorders>
              <w:top w:val="nil"/>
              <w:left w:val="nil"/>
              <w:bottom w:val="single" w:color="auto" w:sz="4" w:space="0"/>
              <w:right w:val="single" w:color="auto" w:sz="4" w:space="0"/>
            </w:tcBorders>
            <w:noWrap/>
            <w:vAlign w:val="center"/>
          </w:tcPr>
          <w:p w14:paraId="4EC9F5F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2.00</w:t>
            </w:r>
          </w:p>
        </w:tc>
        <w:tc>
          <w:tcPr>
            <w:tcW w:w="1507" w:type="dxa"/>
            <w:tcBorders>
              <w:top w:val="nil"/>
              <w:left w:val="nil"/>
              <w:bottom w:val="single" w:color="auto" w:sz="4" w:space="0"/>
              <w:right w:val="single" w:color="auto" w:sz="4" w:space="0"/>
            </w:tcBorders>
            <w:noWrap/>
            <w:vAlign w:val="center"/>
          </w:tcPr>
          <w:p w14:paraId="6F94DE9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0.44</w:t>
            </w:r>
          </w:p>
        </w:tc>
        <w:tc>
          <w:tcPr>
            <w:tcW w:w="1507" w:type="dxa"/>
            <w:tcBorders>
              <w:top w:val="nil"/>
              <w:left w:val="nil"/>
              <w:bottom w:val="single" w:color="auto" w:sz="4" w:space="0"/>
              <w:right w:val="single" w:color="auto" w:sz="4" w:space="0"/>
            </w:tcBorders>
            <w:noWrap/>
            <w:vAlign w:val="center"/>
          </w:tcPr>
          <w:p w14:paraId="7492AA3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3.11</w:t>
            </w:r>
          </w:p>
        </w:tc>
        <w:tc>
          <w:tcPr>
            <w:tcW w:w="1508" w:type="dxa"/>
            <w:tcBorders>
              <w:top w:val="nil"/>
              <w:left w:val="nil"/>
              <w:bottom w:val="single" w:color="auto" w:sz="4" w:space="0"/>
              <w:right w:val="single" w:color="auto" w:sz="4" w:space="0"/>
            </w:tcBorders>
            <w:noWrap/>
            <w:vAlign w:val="center"/>
          </w:tcPr>
          <w:p w14:paraId="4A3656D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0.56</w:t>
            </w:r>
          </w:p>
        </w:tc>
      </w:tr>
      <w:tr w14:paraId="450501C1">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04BD76F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变异系数</w:t>
            </w:r>
            <w:r>
              <w:rPr>
                <w:rFonts w:ascii="微软雅黑" w:hAnsi="微软雅黑" w:eastAsia="微软雅黑"/>
                <w:color w:val="000000"/>
                <w:sz w:val="28"/>
                <w:szCs w:val="28"/>
              </w:rPr>
              <w:t>CV</w:t>
            </w:r>
            <w:r>
              <w:rPr>
                <w:rFonts w:hint="eastAsia" w:ascii="微软雅黑" w:hAnsi="微软雅黑" w:eastAsia="微软雅黑"/>
                <w:color w:val="000000"/>
                <w:sz w:val="28"/>
                <w:szCs w:val="28"/>
              </w:rPr>
              <w:t>（</w:t>
            </w:r>
            <w:r>
              <w:rPr>
                <w:rFonts w:ascii="微软雅黑" w:hAnsi="微软雅黑" w:eastAsia="微软雅黑"/>
                <w:color w:val="000000"/>
                <w:sz w:val="28"/>
                <w:szCs w:val="28"/>
              </w:rPr>
              <w:t>%</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1BC38D3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5.2%</w:t>
            </w:r>
          </w:p>
        </w:tc>
        <w:tc>
          <w:tcPr>
            <w:tcW w:w="1507" w:type="dxa"/>
            <w:tcBorders>
              <w:top w:val="nil"/>
              <w:left w:val="nil"/>
              <w:bottom w:val="single" w:color="auto" w:sz="4" w:space="0"/>
              <w:right w:val="single" w:color="auto" w:sz="4" w:space="0"/>
            </w:tcBorders>
            <w:noWrap/>
            <w:vAlign w:val="center"/>
          </w:tcPr>
          <w:p w14:paraId="46942EA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5.1%</w:t>
            </w:r>
          </w:p>
        </w:tc>
        <w:tc>
          <w:tcPr>
            <w:tcW w:w="1507" w:type="dxa"/>
            <w:tcBorders>
              <w:top w:val="nil"/>
              <w:left w:val="nil"/>
              <w:bottom w:val="single" w:color="auto" w:sz="4" w:space="0"/>
              <w:right w:val="single" w:color="auto" w:sz="4" w:space="0"/>
            </w:tcBorders>
            <w:noWrap/>
            <w:vAlign w:val="center"/>
          </w:tcPr>
          <w:p w14:paraId="77D2922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8.6%</w:t>
            </w:r>
          </w:p>
        </w:tc>
        <w:tc>
          <w:tcPr>
            <w:tcW w:w="1508" w:type="dxa"/>
            <w:tcBorders>
              <w:top w:val="nil"/>
              <w:left w:val="nil"/>
              <w:bottom w:val="single" w:color="auto" w:sz="4" w:space="0"/>
              <w:right w:val="single" w:color="auto" w:sz="4" w:space="0"/>
            </w:tcBorders>
            <w:noWrap/>
            <w:vAlign w:val="center"/>
          </w:tcPr>
          <w:p w14:paraId="5D6E723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5.8%</w:t>
            </w:r>
          </w:p>
        </w:tc>
      </w:tr>
    </w:tbl>
    <w:p w14:paraId="18210D49">
      <w:pPr>
        <w:pStyle w:val="6"/>
        <w:rPr>
          <w:rFonts w:ascii="微软雅黑" w:hAnsi="微软雅黑" w:eastAsia="微软雅黑"/>
          <w:sz w:val="32"/>
        </w:rPr>
      </w:pPr>
      <w:bookmarkStart w:id="13" w:name="_Toc164420468"/>
    </w:p>
    <w:p w14:paraId="0252EA22">
      <w:pPr>
        <w:pStyle w:val="6"/>
        <w:rPr>
          <w:rFonts w:ascii="微软雅黑" w:hAnsi="微软雅黑" w:eastAsia="微软雅黑"/>
          <w:sz w:val="32"/>
        </w:rPr>
      </w:pPr>
      <w:r>
        <w:rPr>
          <w:rFonts w:hint="eastAsia" w:ascii="微软雅黑" w:hAnsi="微软雅黑" w:eastAsia="微软雅黑"/>
          <w:sz w:val="32"/>
        </w:rPr>
        <w:t>回收率</w:t>
      </w:r>
      <w:bookmarkEnd w:id="13"/>
    </w:p>
    <w:p w14:paraId="19420DC1">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回收率在不同基质的整个测定范围内选取在健康小鼠血清、血浆和细胞培养上清中加入</w:t>
      </w:r>
      <w:r>
        <w:rPr>
          <w:rFonts w:ascii="微软雅黑" w:hAnsi="微软雅黑" w:eastAsia="微软雅黑" w:cs="Times New Roman"/>
          <w:color w:val="auto"/>
          <w:sz w:val="32"/>
          <w:szCs w:val="32"/>
        </w:rPr>
        <w:t>3</w:t>
      </w:r>
      <w:r>
        <w:rPr>
          <w:rFonts w:hint="eastAsia" w:ascii="微软雅黑" w:hAnsi="微软雅黑" w:eastAsia="微软雅黑" w:cs="Times New Roman"/>
          <w:color w:val="auto"/>
          <w:sz w:val="32"/>
          <w:szCs w:val="32"/>
        </w:rPr>
        <w:t>个不同浓度水平计算回收率。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2483"/>
        <w:gridCol w:w="2484"/>
      </w:tblGrid>
      <w:tr w14:paraId="043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901" w:type="dxa"/>
            <w:noWrap/>
            <w:vAlign w:val="center"/>
          </w:tcPr>
          <w:p w14:paraId="1C507093">
            <w:pPr>
              <w:jc w:val="center"/>
              <w:rPr>
                <w:rFonts w:ascii="微软雅黑" w:hAnsi="微软雅黑" w:eastAsia="微软雅黑"/>
                <w:sz w:val="28"/>
                <w:szCs w:val="28"/>
              </w:rPr>
            </w:pPr>
            <w:r>
              <w:rPr>
                <w:rFonts w:hint="eastAsia" w:ascii="微软雅黑" w:hAnsi="微软雅黑" w:eastAsia="微软雅黑"/>
                <w:sz w:val="28"/>
                <w:szCs w:val="28"/>
              </w:rPr>
              <w:t>样本类型</w:t>
            </w:r>
          </w:p>
        </w:tc>
        <w:tc>
          <w:tcPr>
            <w:tcW w:w="2483" w:type="dxa"/>
            <w:noWrap/>
            <w:vAlign w:val="center"/>
          </w:tcPr>
          <w:p w14:paraId="56C3A938">
            <w:pPr>
              <w:jc w:val="center"/>
              <w:rPr>
                <w:rFonts w:ascii="微软雅黑" w:hAnsi="微软雅黑" w:eastAsia="微软雅黑"/>
                <w:sz w:val="28"/>
                <w:szCs w:val="28"/>
              </w:rPr>
            </w:pPr>
            <w:r>
              <w:rPr>
                <w:rFonts w:hint="eastAsia" w:ascii="微软雅黑" w:hAnsi="微软雅黑" w:eastAsia="微软雅黑"/>
                <w:sz w:val="28"/>
                <w:szCs w:val="28"/>
              </w:rPr>
              <w:t>范围（</w:t>
            </w:r>
            <w:r>
              <w:rPr>
                <w:rFonts w:ascii="微软雅黑" w:hAnsi="微软雅黑" w:eastAsia="微软雅黑"/>
                <w:sz w:val="28"/>
                <w:szCs w:val="28"/>
              </w:rPr>
              <w:t>%</w:t>
            </w:r>
            <w:r>
              <w:rPr>
                <w:rFonts w:hint="eastAsia" w:ascii="微软雅黑" w:hAnsi="微软雅黑" w:eastAsia="微软雅黑"/>
                <w:sz w:val="28"/>
                <w:szCs w:val="28"/>
              </w:rPr>
              <w:t>）</w:t>
            </w:r>
          </w:p>
        </w:tc>
        <w:tc>
          <w:tcPr>
            <w:tcW w:w="2484" w:type="dxa"/>
            <w:noWrap/>
            <w:vAlign w:val="center"/>
          </w:tcPr>
          <w:p w14:paraId="5F71C9B5">
            <w:pPr>
              <w:jc w:val="center"/>
              <w:rPr>
                <w:rFonts w:ascii="微软雅黑" w:hAnsi="微软雅黑" w:eastAsia="微软雅黑"/>
                <w:sz w:val="28"/>
                <w:szCs w:val="28"/>
              </w:rPr>
            </w:pPr>
            <w:r>
              <w:rPr>
                <w:rFonts w:hint="eastAsia" w:ascii="微软雅黑" w:hAnsi="微软雅黑" w:eastAsia="微软雅黑"/>
                <w:sz w:val="28"/>
                <w:szCs w:val="28"/>
              </w:rPr>
              <w:t>平均回收率（</w:t>
            </w:r>
            <w:r>
              <w:rPr>
                <w:rFonts w:ascii="微软雅黑" w:hAnsi="微软雅黑" w:eastAsia="微软雅黑"/>
                <w:sz w:val="28"/>
                <w:szCs w:val="28"/>
              </w:rPr>
              <w:t>%</w:t>
            </w:r>
            <w:r>
              <w:rPr>
                <w:rFonts w:hint="eastAsia" w:ascii="微软雅黑" w:hAnsi="微软雅黑" w:eastAsia="微软雅黑"/>
                <w:sz w:val="28"/>
                <w:szCs w:val="28"/>
              </w:rPr>
              <w:t>）</w:t>
            </w:r>
          </w:p>
        </w:tc>
      </w:tr>
      <w:tr w14:paraId="49D2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3A5D4492">
            <w:pPr>
              <w:jc w:val="center"/>
              <w:rPr>
                <w:rFonts w:ascii="微软雅黑" w:hAnsi="微软雅黑" w:eastAsia="微软雅黑"/>
                <w:sz w:val="28"/>
                <w:szCs w:val="28"/>
              </w:rPr>
            </w:pPr>
            <w:r>
              <w:rPr>
                <w:rFonts w:hint="eastAsia" w:ascii="微软雅黑" w:hAnsi="微软雅黑" w:eastAsia="微软雅黑"/>
                <w:sz w:val="28"/>
                <w:szCs w:val="28"/>
              </w:rPr>
              <w:t>血清(</w:t>
            </w:r>
            <w:r>
              <w:rPr>
                <w:rFonts w:ascii="微软雅黑" w:hAnsi="微软雅黑" w:eastAsia="微软雅黑"/>
                <w:sz w:val="28"/>
                <w:szCs w:val="28"/>
              </w:rPr>
              <w:t>n=8)</w:t>
            </w:r>
          </w:p>
        </w:tc>
        <w:tc>
          <w:tcPr>
            <w:tcW w:w="2483" w:type="dxa"/>
            <w:noWrap/>
            <w:vAlign w:val="center"/>
          </w:tcPr>
          <w:p w14:paraId="58D72A7A">
            <w:pPr>
              <w:jc w:val="center"/>
              <w:rPr>
                <w:rFonts w:ascii="微软雅黑" w:hAnsi="微软雅黑" w:eastAsia="微软雅黑"/>
                <w:sz w:val="28"/>
                <w:szCs w:val="28"/>
              </w:rPr>
            </w:pPr>
            <w:r>
              <w:rPr>
                <w:rFonts w:ascii="微软雅黑" w:hAnsi="微软雅黑" w:eastAsia="微软雅黑"/>
                <w:sz w:val="28"/>
                <w:szCs w:val="28"/>
              </w:rPr>
              <w:t>86-102</w:t>
            </w:r>
          </w:p>
        </w:tc>
        <w:tc>
          <w:tcPr>
            <w:tcW w:w="2484" w:type="dxa"/>
            <w:noWrap/>
            <w:vAlign w:val="center"/>
          </w:tcPr>
          <w:p w14:paraId="7607C819">
            <w:pPr>
              <w:jc w:val="center"/>
              <w:rPr>
                <w:rFonts w:ascii="微软雅黑" w:hAnsi="微软雅黑" w:eastAsia="微软雅黑"/>
                <w:sz w:val="28"/>
                <w:szCs w:val="28"/>
              </w:rPr>
            </w:pPr>
            <w:r>
              <w:rPr>
                <w:rFonts w:ascii="微软雅黑" w:hAnsi="微软雅黑" w:eastAsia="微软雅黑"/>
                <w:sz w:val="28"/>
                <w:szCs w:val="28"/>
              </w:rPr>
              <w:t>94</w:t>
            </w:r>
          </w:p>
        </w:tc>
      </w:tr>
      <w:tr w14:paraId="72B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02262E37">
            <w:pPr>
              <w:jc w:val="center"/>
              <w:rPr>
                <w:rFonts w:ascii="微软雅黑" w:hAnsi="微软雅黑" w:eastAsia="微软雅黑"/>
                <w:sz w:val="28"/>
                <w:szCs w:val="28"/>
              </w:rPr>
            </w:pPr>
            <w:r>
              <w:rPr>
                <w:rFonts w:hint="eastAsia" w:ascii="微软雅黑" w:hAnsi="微软雅黑" w:eastAsia="微软雅黑"/>
                <w:sz w:val="28"/>
                <w:szCs w:val="28"/>
              </w:rPr>
              <w:t>血浆</w:t>
            </w:r>
            <w:r>
              <w:rPr>
                <w:rFonts w:ascii="微软雅黑" w:hAnsi="微软雅黑" w:eastAsia="微软雅黑"/>
                <w:sz w:val="28"/>
                <w:szCs w:val="28"/>
              </w:rPr>
              <w:t>(n=8)</w:t>
            </w:r>
          </w:p>
        </w:tc>
        <w:tc>
          <w:tcPr>
            <w:tcW w:w="2483" w:type="dxa"/>
            <w:noWrap/>
            <w:vAlign w:val="center"/>
          </w:tcPr>
          <w:p w14:paraId="2A8AC879">
            <w:pPr>
              <w:jc w:val="center"/>
              <w:rPr>
                <w:rFonts w:ascii="微软雅黑" w:hAnsi="微软雅黑" w:eastAsia="微软雅黑"/>
                <w:sz w:val="28"/>
                <w:szCs w:val="28"/>
              </w:rPr>
            </w:pPr>
            <w:r>
              <w:rPr>
                <w:rFonts w:ascii="微软雅黑" w:hAnsi="微软雅黑" w:eastAsia="微软雅黑"/>
                <w:sz w:val="28"/>
                <w:szCs w:val="28"/>
              </w:rPr>
              <w:t>90-106</w:t>
            </w:r>
          </w:p>
        </w:tc>
        <w:tc>
          <w:tcPr>
            <w:tcW w:w="2484" w:type="dxa"/>
            <w:noWrap/>
            <w:vAlign w:val="center"/>
          </w:tcPr>
          <w:p w14:paraId="17291B69">
            <w:pPr>
              <w:jc w:val="center"/>
              <w:rPr>
                <w:rFonts w:ascii="微软雅黑" w:hAnsi="微软雅黑" w:eastAsia="微软雅黑"/>
                <w:sz w:val="28"/>
                <w:szCs w:val="28"/>
              </w:rPr>
            </w:pPr>
            <w:r>
              <w:rPr>
                <w:rFonts w:ascii="微软雅黑" w:hAnsi="微软雅黑" w:eastAsia="微软雅黑"/>
                <w:sz w:val="28"/>
                <w:szCs w:val="28"/>
              </w:rPr>
              <w:t>98</w:t>
            </w:r>
          </w:p>
        </w:tc>
      </w:tr>
      <w:tr w14:paraId="6C4A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18ACECB7">
            <w:pPr>
              <w:jc w:val="center"/>
              <w:rPr>
                <w:rFonts w:ascii="微软雅黑" w:hAnsi="微软雅黑" w:eastAsia="微软雅黑"/>
                <w:sz w:val="28"/>
                <w:szCs w:val="28"/>
              </w:rPr>
            </w:pPr>
            <w:r>
              <w:rPr>
                <w:rFonts w:hint="eastAsia" w:ascii="微软雅黑" w:hAnsi="微软雅黑" w:eastAsia="微软雅黑"/>
                <w:sz w:val="28"/>
                <w:szCs w:val="28"/>
              </w:rPr>
              <w:t>细胞培养上清</w:t>
            </w:r>
            <w:r>
              <w:rPr>
                <w:rFonts w:ascii="微软雅黑" w:hAnsi="微软雅黑" w:eastAsia="微软雅黑"/>
                <w:sz w:val="28"/>
                <w:szCs w:val="28"/>
              </w:rPr>
              <w:t>(n=8)</w:t>
            </w:r>
          </w:p>
        </w:tc>
        <w:tc>
          <w:tcPr>
            <w:tcW w:w="2483" w:type="dxa"/>
            <w:noWrap/>
            <w:vAlign w:val="center"/>
          </w:tcPr>
          <w:p w14:paraId="53C431D6">
            <w:pPr>
              <w:jc w:val="center"/>
              <w:rPr>
                <w:rFonts w:ascii="微软雅黑" w:hAnsi="微软雅黑" w:eastAsia="微软雅黑"/>
                <w:sz w:val="28"/>
                <w:szCs w:val="28"/>
              </w:rPr>
            </w:pPr>
            <w:r>
              <w:rPr>
                <w:rFonts w:ascii="微软雅黑" w:hAnsi="微软雅黑" w:eastAsia="微软雅黑"/>
                <w:sz w:val="28"/>
                <w:szCs w:val="28"/>
              </w:rPr>
              <w:t>94-110</w:t>
            </w:r>
          </w:p>
        </w:tc>
        <w:tc>
          <w:tcPr>
            <w:tcW w:w="2484" w:type="dxa"/>
            <w:noWrap/>
            <w:vAlign w:val="center"/>
          </w:tcPr>
          <w:p w14:paraId="437F0442">
            <w:pPr>
              <w:jc w:val="center"/>
              <w:rPr>
                <w:rFonts w:ascii="微软雅黑" w:hAnsi="微软雅黑" w:eastAsia="微软雅黑"/>
                <w:sz w:val="28"/>
                <w:szCs w:val="28"/>
              </w:rPr>
            </w:pPr>
            <w:r>
              <w:rPr>
                <w:rFonts w:ascii="微软雅黑" w:hAnsi="微软雅黑" w:eastAsia="微软雅黑"/>
                <w:sz w:val="28"/>
                <w:szCs w:val="28"/>
              </w:rPr>
              <w:t>102</w:t>
            </w:r>
          </w:p>
        </w:tc>
      </w:tr>
    </w:tbl>
    <w:p w14:paraId="730E7FE2">
      <w:pPr>
        <w:pStyle w:val="6"/>
        <w:rPr>
          <w:rFonts w:ascii="微软雅黑" w:hAnsi="微软雅黑" w:eastAsia="微软雅黑"/>
          <w:sz w:val="32"/>
        </w:rPr>
      </w:pPr>
      <w:bookmarkStart w:id="14" w:name="_Toc164420469"/>
      <w:r>
        <w:rPr>
          <w:rFonts w:hint="eastAsia" w:ascii="微软雅黑" w:hAnsi="微软雅黑" w:eastAsia="微软雅黑"/>
          <w:sz w:val="32"/>
        </w:rPr>
        <w:t>灵敏度</w:t>
      </w:r>
      <w:bookmarkEnd w:id="14"/>
      <w:r>
        <w:rPr>
          <w:rFonts w:ascii="微软雅黑" w:hAnsi="微软雅黑" w:eastAsia="微软雅黑"/>
          <w:sz w:val="32"/>
        </w:rPr>
        <w:t xml:space="preserve"> </w:t>
      </w:r>
    </w:p>
    <w:p w14:paraId="115FA846">
      <w:pPr>
        <w:pStyle w:val="12"/>
        <w:ind w:firstLine="640" w:firstLineChars="200"/>
        <w:rPr>
          <w:rFonts w:ascii="微软雅黑" w:hAnsi="微软雅黑" w:eastAsia="微软雅黑" w:cs="Times New Roman"/>
          <w:sz w:val="32"/>
          <w:szCs w:val="32"/>
        </w:rPr>
      </w:pPr>
      <w:r>
        <w:rPr>
          <w:rFonts w:hint="eastAsia" w:ascii="微软雅黑" w:hAnsi="微软雅黑" w:eastAsia="微软雅黑" w:cs="Times New Roman"/>
          <w:color w:val="auto"/>
          <w:sz w:val="32"/>
          <w:szCs w:val="32"/>
        </w:rPr>
        <w:t>经样本测试，本试剂盒的检测灵敏度为</w:t>
      </w:r>
      <w:bookmarkStart w:id="15" w:name="_Toc164420470"/>
      <w:r>
        <w:rPr>
          <w:rFonts w:hint="eastAsia" w:ascii="微软雅黑" w:hAnsi="微软雅黑" w:eastAsia="微软雅黑" w:cs="Times New Roman"/>
          <w:color w:val="auto"/>
          <w:sz w:val="32"/>
          <w:szCs w:val="32"/>
        </w:rPr>
        <w:t>0.39ng/mL。</w:t>
      </w:r>
    </w:p>
    <w:p w14:paraId="7CA67465">
      <w:pPr>
        <w:pStyle w:val="12"/>
        <w:ind w:firstLine="640" w:firstLineChars="200"/>
        <w:rPr>
          <w:rFonts w:ascii="微软雅黑" w:hAnsi="微软雅黑" w:eastAsia="微软雅黑" w:cs="Times New Roman"/>
          <w:sz w:val="32"/>
          <w:szCs w:val="32"/>
        </w:rPr>
      </w:pPr>
    </w:p>
    <w:p w14:paraId="398356AF">
      <w:pPr>
        <w:pStyle w:val="6"/>
        <w:rPr>
          <w:rFonts w:ascii="微软雅黑" w:hAnsi="微软雅黑" w:eastAsia="微软雅黑"/>
          <w:sz w:val="32"/>
        </w:rPr>
      </w:pPr>
      <w:r>
        <w:rPr>
          <w:rFonts w:hint="eastAsia" w:ascii="微软雅黑" w:hAnsi="微软雅黑" w:eastAsia="微软雅黑"/>
          <w:sz w:val="32"/>
        </w:rPr>
        <w:t>线性</w:t>
      </w:r>
      <w:bookmarkEnd w:id="15"/>
      <w:r>
        <w:rPr>
          <w:rFonts w:hint="eastAsia" w:ascii="微软雅黑" w:hAnsi="微软雅黑" w:eastAsia="微软雅黑"/>
          <w:sz w:val="32"/>
        </w:rPr>
        <w:t>关系</w:t>
      </w:r>
    </w:p>
    <w:p w14:paraId="77D4ACDF">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分别在选取的</w:t>
      </w:r>
      <w:r>
        <w:rPr>
          <w:rFonts w:ascii="微软雅黑" w:hAnsi="微软雅黑" w:eastAsia="微软雅黑" w:cs="Times New Roman"/>
          <w:color w:val="auto"/>
          <w:sz w:val="32"/>
          <w:szCs w:val="32"/>
        </w:rPr>
        <w:t>4</w:t>
      </w:r>
      <w:r>
        <w:rPr>
          <w:rFonts w:hint="eastAsia" w:ascii="微软雅黑" w:hAnsi="微软雅黑" w:eastAsia="微软雅黑" w:cs="Times New Roman"/>
          <w:color w:val="auto"/>
          <w:sz w:val="32"/>
          <w:szCs w:val="32"/>
        </w:rPr>
        <w:t>份健康小鼠血清、血浆和细胞培养上清中加入高浓度BDNF，在标准曲线动力学范围内进行稀释，评估线性。</w:t>
      </w:r>
    </w:p>
    <w:tbl>
      <w:tblPr>
        <w:tblStyle w:val="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872"/>
        <w:gridCol w:w="1871"/>
        <w:gridCol w:w="1872"/>
      </w:tblGrid>
      <w:tr w14:paraId="42EF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71" w:type="dxa"/>
            <w:vAlign w:val="center"/>
          </w:tcPr>
          <w:p w14:paraId="29F167C5">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稀释比例</w:t>
            </w:r>
          </w:p>
        </w:tc>
        <w:tc>
          <w:tcPr>
            <w:tcW w:w="1871" w:type="dxa"/>
            <w:vAlign w:val="center"/>
          </w:tcPr>
          <w:p w14:paraId="42D47B95">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回收率（</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3AC7378">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血清</w:t>
            </w:r>
          </w:p>
        </w:tc>
        <w:tc>
          <w:tcPr>
            <w:tcW w:w="1871" w:type="dxa"/>
            <w:vAlign w:val="center"/>
          </w:tcPr>
          <w:p w14:paraId="5EB20AC6">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血浆</w:t>
            </w:r>
          </w:p>
        </w:tc>
        <w:tc>
          <w:tcPr>
            <w:tcW w:w="1872" w:type="dxa"/>
            <w:vAlign w:val="center"/>
          </w:tcPr>
          <w:p w14:paraId="3022657D">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细胞培养上清</w:t>
            </w:r>
          </w:p>
        </w:tc>
      </w:tr>
      <w:tr w14:paraId="7983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702630B8">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1:2</w:t>
            </w:r>
          </w:p>
        </w:tc>
        <w:tc>
          <w:tcPr>
            <w:tcW w:w="1871" w:type="dxa"/>
            <w:vAlign w:val="center"/>
          </w:tcPr>
          <w:p w14:paraId="13D5C6FE">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5F15D6F">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82-96</w:t>
            </w:r>
          </w:p>
        </w:tc>
        <w:tc>
          <w:tcPr>
            <w:tcW w:w="1871" w:type="dxa"/>
            <w:vAlign w:val="center"/>
          </w:tcPr>
          <w:p w14:paraId="54BC4DBD">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90-98</w:t>
            </w:r>
          </w:p>
        </w:tc>
        <w:tc>
          <w:tcPr>
            <w:tcW w:w="1872" w:type="dxa"/>
            <w:vAlign w:val="center"/>
          </w:tcPr>
          <w:p w14:paraId="1B3D2C29">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92-112</w:t>
            </w:r>
          </w:p>
        </w:tc>
      </w:tr>
      <w:tr w14:paraId="4E8A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6E9A1BD5">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1:4</w:t>
            </w:r>
          </w:p>
        </w:tc>
        <w:tc>
          <w:tcPr>
            <w:tcW w:w="1871" w:type="dxa"/>
            <w:vAlign w:val="center"/>
          </w:tcPr>
          <w:p w14:paraId="17C963AB">
            <w:pPr>
              <w:widowControl/>
              <w:jc w:val="center"/>
              <w:textAlignment w:val="center"/>
              <w:rPr>
                <w:rFonts w:ascii="微软雅黑" w:hAnsi="微软雅黑" w:eastAsia="微软雅黑"/>
                <w:color w:val="000000"/>
                <w:kern w:val="0"/>
                <w:sz w:val="28"/>
                <w:szCs w:val="28"/>
                <w:lang w:bidi="ar"/>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2D54E288">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88-104</w:t>
            </w:r>
          </w:p>
        </w:tc>
        <w:tc>
          <w:tcPr>
            <w:tcW w:w="1871" w:type="dxa"/>
            <w:vAlign w:val="center"/>
          </w:tcPr>
          <w:p w14:paraId="556A5EC0">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89-107</w:t>
            </w:r>
          </w:p>
        </w:tc>
        <w:tc>
          <w:tcPr>
            <w:tcW w:w="1872" w:type="dxa"/>
            <w:vAlign w:val="center"/>
          </w:tcPr>
          <w:p w14:paraId="226549E9">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104-116</w:t>
            </w:r>
          </w:p>
        </w:tc>
      </w:tr>
      <w:tr w14:paraId="5DF3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3F470F3B">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1:8</w:t>
            </w:r>
          </w:p>
        </w:tc>
        <w:tc>
          <w:tcPr>
            <w:tcW w:w="1871" w:type="dxa"/>
            <w:vAlign w:val="center"/>
          </w:tcPr>
          <w:p w14:paraId="2E10CF6A">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479E74CA">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85-102</w:t>
            </w:r>
          </w:p>
        </w:tc>
        <w:tc>
          <w:tcPr>
            <w:tcW w:w="1871" w:type="dxa"/>
            <w:vAlign w:val="center"/>
          </w:tcPr>
          <w:p w14:paraId="3F7B9DC0">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92-101</w:t>
            </w:r>
          </w:p>
        </w:tc>
        <w:tc>
          <w:tcPr>
            <w:tcW w:w="1872" w:type="dxa"/>
            <w:vAlign w:val="center"/>
          </w:tcPr>
          <w:p w14:paraId="6C1F152F">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99-115</w:t>
            </w:r>
          </w:p>
        </w:tc>
      </w:tr>
    </w:tbl>
    <w:p w14:paraId="7E829774">
      <w:pPr>
        <w:pStyle w:val="6"/>
        <w:rPr>
          <w:rFonts w:ascii="微软雅黑" w:hAnsi="微软雅黑" w:eastAsia="微软雅黑"/>
          <w:sz w:val="32"/>
        </w:rPr>
      </w:pPr>
      <w:bookmarkStart w:id="16" w:name="_Toc164420472"/>
      <w:r>
        <w:rPr>
          <w:rFonts w:hint="eastAsia" w:ascii="微软雅黑" w:hAnsi="微软雅黑" w:eastAsia="微软雅黑"/>
          <w:sz w:val="32"/>
        </w:rPr>
        <w:t>特异性</w:t>
      </w:r>
      <w:bookmarkEnd w:id="16"/>
    </w:p>
    <w:p w14:paraId="19034ACC">
      <w:pPr>
        <w:ind w:firstLine="640" w:firstLineChars="200"/>
        <w:rPr>
          <w:rFonts w:ascii="微软雅黑" w:hAnsi="微软雅黑" w:eastAsia="微软雅黑"/>
          <w:sz w:val="32"/>
          <w:szCs w:val="32"/>
        </w:rPr>
      </w:pPr>
      <w:r>
        <w:rPr>
          <w:rFonts w:hint="eastAsia" w:ascii="微软雅黑" w:hAnsi="微软雅黑" w:eastAsia="微软雅黑"/>
          <w:sz w:val="32"/>
          <w:szCs w:val="32"/>
        </w:rPr>
        <w:t>该试剂盒测定可识别天然和重组小鼠BDNF。</w:t>
      </w:r>
    </w:p>
    <w:p w14:paraId="05BC6CF5">
      <w:pPr>
        <w:ind w:firstLine="640" w:firstLineChars="200"/>
        <w:rPr>
          <w:rFonts w:ascii="微软雅黑" w:hAnsi="微软雅黑" w:eastAsia="微软雅黑"/>
          <w:sz w:val="30"/>
          <w:szCs w:val="30"/>
        </w:rPr>
      </w:pPr>
      <w:r>
        <w:rPr>
          <w:rFonts w:hint="eastAsia" w:ascii="微软雅黑" w:hAnsi="微软雅黑" w:eastAsia="微软雅黑"/>
          <w:sz w:val="32"/>
          <w:szCs w:val="32"/>
        </w:rPr>
        <w:t>其他相关蛋白在稀释缓冲液中制备为</w:t>
      </w:r>
      <w:r>
        <w:rPr>
          <w:rFonts w:ascii="微软雅黑" w:hAnsi="微软雅黑" w:eastAsia="微软雅黑"/>
          <w:sz w:val="32"/>
          <w:szCs w:val="32"/>
        </w:rPr>
        <w:t>50</w:t>
      </w:r>
      <w:r>
        <w:rPr>
          <w:rFonts w:hint="eastAsia" w:ascii="微软雅黑" w:hAnsi="微软雅黑" w:eastAsia="微软雅黑"/>
          <w:sz w:val="32"/>
          <w:szCs w:val="32"/>
        </w:rPr>
        <w:t>n</w:t>
      </w:r>
      <w:r>
        <w:rPr>
          <w:rFonts w:ascii="微软雅黑" w:hAnsi="微软雅黑" w:eastAsia="微软雅黑"/>
          <w:sz w:val="32"/>
          <w:szCs w:val="32"/>
        </w:rPr>
        <w:t>g/mL</w:t>
      </w:r>
      <w:r>
        <w:rPr>
          <w:rFonts w:hint="eastAsia" w:ascii="微软雅黑" w:hAnsi="微软雅黑" w:eastAsia="微软雅黑"/>
          <w:sz w:val="32"/>
          <w:szCs w:val="32"/>
        </w:rPr>
        <w:t>，并测定交叉反应性。没有观察到明显的交叉反应</w:t>
      </w:r>
      <w:r>
        <w:rPr>
          <w:rFonts w:hint="eastAsia" w:ascii="微软雅黑" w:hAnsi="微软雅黑" w:eastAsia="微软雅黑"/>
          <w:sz w:val="30"/>
          <w:szCs w:val="30"/>
        </w:rPr>
        <w:t>。</w:t>
      </w:r>
    </w:p>
    <w:p w14:paraId="23A6499B">
      <w:pPr>
        <w:pStyle w:val="6"/>
        <w:rPr>
          <w:rFonts w:ascii="微软雅黑" w:hAnsi="微软雅黑" w:eastAsia="微软雅黑"/>
          <w:sz w:val="32"/>
        </w:rPr>
      </w:pPr>
      <w:bookmarkStart w:id="17" w:name="_Toc164420473"/>
    </w:p>
    <w:p w14:paraId="1A024A7C">
      <w:pPr>
        <w:pStyle w:val="12"/>
        <w:rPr>
          <w:rFonts w:eastAsia="微软雅黑"/>
          <w:b/>
          <w:bCs/>
          <w:sz w:val="32"/>
          <w:szCs w:val="32"/>
          <w:highlight w:val="red"/>
        </w:rPr>
      </w:pPr>
      <w:r>
        <w:rPr>
          <w:rFonts w:hint="eastAsia" w:ascii="微软雅黑" w:hAnsi="微软雅黑" w:eastAsia="微软雅黑"/>
          <w:b/>
          <w:bCs/>
          <w:color w:val="00B050"/>
          <w:sz w:val="32"/>
        </w:rPr>
        <w:t>参考文献</w:t>
      </w:r>
      <w:bookmarkEnd w:id="17"/>
      <w:r>
        <w:rPr>
          <w:rFonts w:ascii="微软雅黑" w:hAnsi="微软雅黑" w:eastAsia="微软雅黑"/>
          <w:b/>
          <w:bCs/>
          <w:color w:val="00B050"/>
          <w:sz w:val="32"/>
        </w:rPr>
        <w:t xml:space="preserve"> </w:t>
      </w:r>
      <w:r>
        <w:rPr>
          <w:rFonts w:ascii="微软雅黑" w:hAnsi="微软雅黑" w:eastAsia="微软雅黑"/>
          <w:sz w:val="32"/>
        </w:rPr>
        <w:br w:type="textWrapping"/>
      </w:r>
    </w:p>
    <w:p w14:paraId="50D6B52A">
      <w:pPr>
        <w:pStyle w:val="6"/>
        <w:rPr>
          <w:rFonts w:ascii="微软雅黑" w:hAnsi="微软雅黑" w:eastAsia="微软雅黑"/>
          <w:sz w:val="32"/>
        </w:rPr>
      </w:pPr>
    </w:p>
    <w:p w14:paraId="2A99D68F">
      <w:pPr>
        <w:pStyle w:val="12"/>
        <w:jc w:val="center"/>
        <w:rPr>
          <w:rFonts w:ascii="微软雅黑" w:hAnsi="微软雅黑" w:eastAsia="微软雅黑"/>
        </w:rPr>
      </w:pPr>
      <w:r>
        <w:rPr>
          <w:rFonts w:ascii="微软雅黑" w:hAnsi="微软雅黑" w:eastAsia="微软雅黑"/>
        </w:rPr>
        <w:drawing>
          <wp:inline distT="0" distB="0" distL="114300" distR="114300">
            <wp:extent cx="6021705" cy="8068310"/>
            <wp:effectExtent l="0" t="0" r="10795" b="8890"/>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pic:nvPicPr>
                  <pic:blipFill>
                    <a:blip r:embed="rId10"/>
                    <a:stretch>
                      <a:fillRect/>
                    </a:stretch>
                  </pic:blipFill>
                  <pic:spPr>
                    <a:xfrm>
                      <a:off x="0" y="0"/>
                      <a:ext cx="6021705" cy="8068310"/>
                    </a:xfrm>
                    <a:prstGeom prst="rect">
                      <a:avLst/>
                    </a:prstGeom>
                    <a:noFill/>
                    <a:ln>
                      <a:noFill/>
                    </a:ln>
                  </pic:spPr>
                </pic:pic>
              </a:graphicData>
            </a:graphic>
          </wp:inline>
        </w:drawing>
      </w:r>
    </w:p>
    <w:p w14:paraId="024C4D21">
      <w:pPr>
        <w:pStyle w:val="15"/>
        <w:rPr>
          <w:rFonts w:ascii="微软雅黑" w:hAnsi="微软雅黑" w:eastAsia="微软雅黑"/>
          <w:b/>
          <w:bCs/>
          <w:color w:val="00B050"/>
          <w:sz w:val="20"/>
          <w:szCs w:val="20"/>
        </w:rPr>
      </w:pPr>
    </w:p>
    <w:p w14:paraId="2B055327">
      <w:pPr>
        <w:pStyle w:val="15"/>
        <w:rPr>
          <w:rFonts w:ascii="微软雅黑" w:hAnsi="微软雅黑" w:eastAsia="微软雅黑"/>
          <w:b/>
          <w:bCs/>
          <w:color w:val="00B050"/>
          <w:sz w:val="20"/>
          <w:szCs w:val="20"/>
        </w:rPr>
      </w:pPr>
    </w:p>
    <w:p w14:paraId="56032748">
      <w:pPr>
        <w:pStyle w:val="15"/>
        <w:rPr>
          <w:rFonts w:ascii="微软雅黑" w:hAnsi="微软雅黑" w:eastAsia="微软雅黑"/>
          <w:b/>
          <w:bCs/>
          <w:color w:val="00B050"/>
          <w:sz w:val="20"/>
          <w:szCs w:val="20"/>
        </w:rPr>
      </w:pPr>
      <w:r>
        <w:rPr>
          <w:rFonts w:ascii="宋体" w:hAnsi="宋体" w:eastAsia="宋体" w:cs="宋体"/>
        </w:rPr>
        <w:drawing>
          <wp:anchor distT="0" distB="0" distL="114300" distR="114300" simplePos="0" relativeHeight="251662336" behindDoc="0" locked="0" layoutInCell="1" allowOverlap="1">
            <wp:simplePos x="0" y="0"/>
            <wp:positionH relativeFrom="column">
              <wp:posOffset>3840480</wp:posOffset>
            </wp:positionH>
            <wp:positionV relativeFrom="paragraph">
              <wp:posOffset>170815</wp:posOffset>
            </wp:positionV>
            <wp:extent cx="1886585" cy="1884680"/>
            <wp:effectExtent l="0" t="0" r="5715" b="762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1"/>
                    <a:stretch>
                      <a:fillRect/>
                    </a:stretch>
                  </pic:blipFill>
                  <pic:spPr>
                    <a:xfrm>
                      <a:off x="0" y="0"/>
                      <a:ext cx="1886585" cy="1884680"/>
                    </a:xfrm>
                    <a:prstGeom prst="rect">
                      <a:avLst/>
                    </a:prstGeom>
                    <a:noFill/>
                    <a:ln>
                      <a:noFill/>
                    </a:ln>
                  </pic:spPr>
                </pic:pic>
              </a:graphicData>
            </a:graphic>
          </wp:anchor>
        </w:drawing>
      </w:r>
      <w:r>
        <w:rPr>
          <w:rFonts w:hint="eastAsia" w:ascii="微软雅黑" w:hAnsi="微软雅黑" w:eastAsia="微软雅黑"/>
          <w:b/>
          <w:bCs/>
          <w:color w:val="00B050"/>
          <w:sz w:val="20"/>
          <w:szCs w:val="20"/>
        </w:rPr>
        <w:drawing>
          <wp:anchor distT="0" distB="0" distL="114300" distR="114300" simplePos="0" relativeHeight="251663360" behindDoc="0" locked="0" layoutInCell="1" allowOverlap="1">
            <wp:simplePos x="0" y="0"/>
            <wp:positionH relativeFrom="column">
              <wp:posOffset>867410</wp:posOffset>
            </wp:positionH>
            <wp:positionV relativeFrom="paragraph">
              <wp:posOffset>190500</wp:posOffset>
            </wp:positionV>
            <wp:extent cx="1887855" cy="1887855"/>
            <wp:effectExtent l="0" t="0" r="4445" b="4445"/>
            <wp:wrapSquare wrapText="bothSides"/>
            <wp:docPr id="5" name="图片 4" descr="酶联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酶联微信二维码"/>
                    <pic:cNvPicPr>
                      <a:picLocks noChangeAspect="1"/>
                    </pic:cNvPicPr>
                  </pic:nvPicPr>
                  <pic:blipFill>
                    <a:blip r:embed="rId12"/>
                    <a:stretch>
                      <a:fillRect/>
                    </a:stretch>
                  </pic:blipFill>
                  <pic:spPr>
                    <a:xfrm>
                      <a:off x="0" y="0"/>
                      <a:ext cx="1887855" cy="1887855"/>
                    </a:xfrm>
                    <a:prstGeom prst="rect">
                      <a:avLst/>
                    </a:prstGeom>
                    <a:noFill/>
                    <a:ln>
                      <a:noFill/>
                    </a:ln>
                  </pic:spPr>
                </pic:pic>
              </a:graphicData>
            </a:graphic>
          </wp:anchor>
        </w:drawing>
      </w:r>
    </w:p>
    <w:p w14:paraId="57BC4EFB">
      <w:pPr>
        <w:pStyle w:val="15"/>
        <w:rPr>
          <w:rFonts w:ascii="微软雅黑" w:hAnsi="微软雅黑" w:eastAsia="宋体"/>
          <w:b/>
          <w:bCs/>
          <w:color w:val="00B050"/>
          <w:sz w:val="20"/>
          <w:szCs w:val="20"/>
        </w:rPr>
      </w:pPr>
      <w:r>
        <w:rPr>
          <w:rFonts w:hint="eastAsia" w:ascii="微软雅黑" w:hAnsi="微软雅黑" w:eastAsia="微软雅黑"/>
          <w:b/>
          <w:bCs/>
          <w:color w:val="00B050"/>
          <w:sz w:val="20"/>
          <w:szCs w:val="20"/>
        </w:rPr>
        <w:t xml:space="preserve">             </w:t>
      </w:r>
      <w:r>
        <w:rPr>
          <w:rFonts w:hint="eastAsia" w:ascii="宋体" w:hAnsi="宋体" w:eastAsia="宋体" w:cs="宋体"/>
        </w:rPr>
        <w:t xml:space="preserve">      </w:t>
      </w:r>
      <w:r>
        <w:rPr>
          <w:rFonts w:hint="eastAsia" w:ascii="微软雅黑" w:hAnsi="微软雅黑" w:eastAsia="宋体"/>
          <w:b/>
          <w:bCs/>
          <w:color w:val="00B050"/>
          <w:sz w:val="20"/>
          <w:szCs w:val="20"/>
        </w:rPr>
        <w:t xml:space="preserve">     </w:t>
      </w:r>
    </w:p>
    <w:p w14:paraId="2A67A465">
      <w:pPr>
        <w:pStyle w:val="15"/>
        <w:tabs>
          <w:tab w:val="left" w:pos="4176"/>
          <w:tab w:val="left" w:pos="8608"/>
        </w:tabs>
        <w:ind w:firstLine="1801" w:firstLineChars="900"/>
        <w:rPr>
          <w:rFonts w:ascii="微软雅黑" w:hAnsi="微软雅黑" w:eastAsia="微软雅黑"/>
          <w:b/>
          <w:bCs/>
          <w:color w:val="00B050"/>
          <w:sz w:val="20"/>
          <w:szCs w:val="20"/>
        </w:rPr>
      </w:pPr>
    </w:p>
    <w:p w14:paraId="0E81A6E6">
      <w:pPr>
        <w:pStyle w:val="15"/>
        <w:tabs>
          <w:tab w:val="left" w:pos="4176"/>
          <w:tab w:val="left" w:pos="8608"/>
        </w:tabs>
        <w:ind w:firstLine="1801" w:firstLineChars="900"/>
        <w:rPr>
          <w:rFonts w:ascii="微软雅黑" w:hAnsi="微软雅黑" w:eastAsia="微软雅黑"/>
          <w:b/>
          <w:bCs/>
          <w:color w:val="00B050"/>
          <w:sz w:val="20"/>
          <w:szCs w:val="20"/>
        </w:rPr>
      </w:pPr>
    </w:p>
    <w:p w14:paraId="27D6B682">
      <w:pPr>
        <w:pStyle w:val="15"/>
        <w:tabs>
          <w:tab w:val="left" w:pos="4176"/>
          <w:tab w:val="left" w:pos="8608"/>
        </w:tabs>
        <w:ind w:firstLine="2401" w:firstLineChars="12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微信公众号                                       手机官网               </w:t>
      </w:r>
    </w:p>
    <w:p w14:paraId="535BCF80">
      <w:pPr>
        <w:pStyle w:val="15"/>
        <w:tabs>
          <w:tab w:val="left" w:pos="4176"/>
          <w:tab w:val="left" w:pos="8608"/>
        </w:tabs>
        <w:ind w:firstLine="1000" w:firstLineChars="500"/>
        <w:rPr>
          <w:rFonts w:ascii="微软雅黑" w:hAnsi="微软雅黑" w:eastAsia="微软雅黑"/>
          <w:b/>
          <w:bCs/>
          <w:color w:val="00B050"/>
          <w:sz w:val="20"/>
          <w:szCs w:val="20"/>
        </w:rPr>
      </w:pPr>
    </w:p>
    <w:p w14:paraId="73D2855E">
      <w:pPr>
        <w:pStyle w:val="15"/>
        <w:tabs>
          <w:tab w:val="left" w:pos="4176"/>
          <w:tab w:val="left" w:pos="8608"/>
        </w:tabs>
        <w:ind w:firstLine="1000" w:firstLineChars="5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   </w:t>
      </w:r>
    </w:p>
    <w:p w14:paraId="6DD21FCF">
      <w:pPr>
        <w:pStyle w:val="15"/>
        <w:tabs>
          <w:tab w:val="left" w:pos="4176"/>
          <w:tab w:val="left" w:pos="8608"/>
        </w:tabs>
        <w:ind w:firstLine="1000" w:firstLineChars="500"/>
        <w:rPr>
          <w:rFonts w:ascii="微软雅黑" w:hAnsi="微软雅黑" w:eastAsia="微软雅黑"/>
          <w:b/>
          <w:bCs/>
          <w:color w:val="00B050"/>
          <w:sz w:val="20"/>
          <w:szCs w:val="20"/>
        </w:rPr>
      </w:pPr>
    </w:p>
    <w:p w14:paraId="473FFC04">
      <w:pPr>
        <w:pStyle w:val="15"/>
        <w:tabs>
          <w:tab w:val="left" w:pos="4176"/>
          <w:tab w:val="left" w:pos="8608"/>
        </w:tabs>
        <w:ind w:firstLine="1000" w:firstLineChars="500"/>
        <w:rPr>
          <w:rFonts w:ascii="微软雅黑" w:hAnsi="微软雅黑" w:eastAsia="微软雅黑"/>
          <w:b/>
          <w:bCs/>
          <w:color w:val="00B050"/>
          <w:sz w:val="20"/>
          <w:szCs w:val="20"/>
        </w:rPr>
      </w:pPr>
    </w:p>
    <w:p w14:paraId="7612A990">
      <w:pPr>
        <w:pStyle w:val="15"/>
        <w:tabs>
          <w:tab w:val="left" w:pos="4176"/>
          <w:tab w:val="left" w:pos="8608"/>
        </w:tabs>
        <w:ind w:firstLine="1000" w:firstLineChars="500"/>
        <w:rPr>
          <w:rFonts w:ascii="微软雅黑" w:hAnsi="微软雅黑" w:eastAsia="微软雅黑"/>
          <w:b/>
          <w:bCs/>
          <w:color w:val="00B050"/>
          <w:sz w:val="20"/>
          <w:szCs w:val="20"/>
        </w:rPr>
      </w:pPr>
    </w:p>
    <w:p w14:paraId="6B78FAF0">
      <w:pPr>
        <w:pStyle w:val="15"/>
        <w:tabs>
          <w:tab w:val="left" w:pos="4176"/>
          <w:tab w:val="left" w:pos="8608"/>
        </w:tabs>
        <w:ind w:firstLine="1000" w:firstLineChars="500"/>
        <w:rPr>
          <w:rFonts w:ascii="微软雅黑" w:hAnsi="微软雅黑" w:eastAsia="微软雅黑"/>
          <w:b/>
          <w:bCs/>
          <w:color w:val="00B050"/>
          <w:sz w:val="20"/>
          <w:szCs w:val="20"/>
        </w:rPr>
      </w:pPr>
    </w:p>
    <w:p w14:paraId="6F408B6D">
      <w:pPr>
        <w:pStyle w:val="15"/>
        <w:tabs>
          <w:tab w:val="left" w:pos="4176"/>
          <w:tab w:val="left" w:pos="8608"/>
        </w:tabs>
        <w:ind w:firstLine="1000" w:firstLineChars="500"/>
        <w:rPr>
          <w:rFonts w:ascii="微软雅黑" w:hAnsi="微软雅黑" w:eastAsia="微软雅黑"/>
          <w:b/>
          <w:bCs/>
          <w:color w:val="00B050"/>
          <w:sz w:val="20"/>
          <w:szCs w:val="20"/>
        </w:rPr>
      </w:pPr>
    </w:p>
    <w:p w14:paraId="0FB0BD11">
      <w:pPr>
        <w:pStyle w:val="15"/>
        <w:tabs>
          <w:tab w:val="left" w:pos="4176"/>
          <w:tab w:val="left" w:pos="8608"/>
        </w:tabs>
        <w:ind w:firstLine="1000" w:firstLineChars="500"/>
        <w:rPr>
          <w:rFonts w:ascii="微软雅黑" w:hAnsi="微软雅黑" w:eastAsia="微软雅黑"/>
          <w:b/>
          <w:bCs/>
          <w:color w:val="00B050"/>
          <w:sz w:val="20"/>
          <w:szCs w:val="20"/>
        </w:rPr>
      </w:pPr>
    </w:p>
    <w:p w14:paraId="537C5430">
      <w:pPr>
        <w:pStyle w:val="15"/>
        <w:rPr>
          <w:rFonts w:ascii="微软雅黑" w:hAnsi="微软雅黑" w:eastAsia="微软雅黑"/>
          <w:b/>
          <w:bCs/>
          <w:color w:val="00B050"/>
          <w:sz w:val="20"/>
          <w:szCs w:val="20"/>
        </w:rPr>
      </w:pPr>
    </w:p>
    <w:p w14:paraId="6A322D94">
      <w:pPr>
        <w:pStyle w:val="15"/>
        <w:rPr>
          <w:rFonts w:ascii="微软雅黑" w:hAnsi="微软雅黑" w:eastAsia="微软雅黑"/>
          <w:b/>
          <w:bCs/>
          <w:color w:val="00B050"/>
          <w:sz w:val="20"/>
          <w:szCs w:val="20"/>
        </w:rPr>
      </w:pPr>
    </w:p>
    <w:p w14:paraId="09D407B8">
      <w:pPr>
        <w:pStyle w:val="15"/>
        <w:rPr>
          <w:rFonts w:ascii="微软雅黑" w:hAnsi="微软雅黑" w:eastAsia="微软雅黑"/>
          <w:b/>
          <w:bCs/>
          <w:color w:val="00B050"/>
          <w:sz w:val="20"/>
          <w:szCs w:val="20"/>
        </w:rPr>
      </w:pPr>
    </w:p>
    <w:p w14:paraId="454AF325">
      <w:pPr>
        <w:pStyle w:val="12"/>
        <w:rPr>
          <w:rFonts w:ascii="微软雅黑" w:hAnsi="微软雅黑" w:eastAsia="微软雅黑"/>
          <w:b/>
          <w:bCs/>
          <w:color w:val="00B050"/>
          <w:sz w:val="20"/>
          <w:szCs w:val="20"/>
        </w:rPr>
      </w:pPr>
    </w:p>
    <w:p w14:paraId="0A8A6713">
      <w:pPr>
        <w:pStyle w:val="12"/>
        <w:rPr>
          <w:rFonts w:ascii="微软雅黑" w:hAnsi="微软雅黑" w:eastAsia="微软雅黑"/>
          <w:b/>
          <w:bCs/>
          <w:color w:val="00B050"/>
          <w:sz w:val="20"/>
          <w:szCs w:val="20"/>
        </w:rPr>
      </w:pPr>
    </w:p>
    <w:p w14:paraId="728F4D65">
      <w:pPr>
        <w:pStyle w:val="12"/>
        <w:rPr>
          <w:rFonts w:ascii="微软雅黑" w:hAnsi="微软雅黑" w:eastAsia="微软雅黑"/>
          <w:b/>
          <w:bCs/>
          <w:color w:val="00B050"/>
          <w:sz w:val="20"/>
          <w:szCs w:val="20"/>
        </w:rPr>
      </w:pPr>
    </w:p>
    <w:p w14:paraId="56952319">
      <w:pPr>
        <w:pStyle w:val="15"/>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企业</w:t>
      </w:r>
      <w:r>
        <w:rPr>
          <w:rFonts w:ascii="微软雅黑" w:hAnsi="微软雅黑" w:eastAsia="微软雅黑"/>
          <w:b/>
          <w:bCs/>
          <w:color w:val="00B050"/>
          <w:sz w:val="20"/>
          <w:szCs w:val="20"/>
        </w:rPr>
        <w:t xml:space="preserve">: </w:t>
      </w:r>
    </w:p>
    <w:p w14:paraId="3EB92C0D">
      <w:pPr>
        <w:pStyle w:val="15"/>
        <w:rPr>
          <w:rFonts w:ascii="微软雅黑" w:hAnsi="微软雅黑" w:eastAsia="微软雅黑"/>
          <w:b/>
          <w:color w:val="00B050"/>
          <w:sz w:val="20"/>
          <w:szCs w:val="20"/>
        </w:rPr>
      </w:pPr>
      <w:r>
        <w:rPr>
          <w:rFonts w:hint="eastAsia" w:ascii="微软雅黑" w:hAnsi="微软雅黑" w:eastAsia="微软雅黑"/>
          <w:b/>
          <w:color w:val="00B050"/>
          <w:sz w:val="20"/>
          <w:szCs w:val="20"/>
        </w:rPr>
        <w:t>上海酶联生物科技有限公司</w:t>
      </w:r>
    </w:p>
    <w:p w14:paraId="6907B464">
      <w:pPr>
        <w:pStyle w:val="15"/>
        <w:rPr>
          <w:rFonts w:ascii="微软雅黑" w:hAnsi="微软雅黑" w:eastAsia="微软雅黑"/>
          <w:bCs/>
          <w:color w:val="00B050"/>
          <w:sz w:val="20"/>
          <w:szCs w:val="20"/>
        </w:rPr>
      </w:pPr>
      <w:r>
        <w:rPr>
          <w:rFonts w:hint="eastAsia" w:ascii="微软雅黑" w:hAnsi="微软雅黑" w:eastAsia="微软雅黑"/>
          <w:bCs/>
          <w:color w:val="00B050"/>
          <w:sz w:val="20"/>
          <w:szCs w:val="20"/>
        </w:rPr>
        <w:t>办公地址：上海市松江区云凯路</w:t>
      </w:r>
      <w:r>
        <w:rPr>
          <w:rFonts w:ascii="微软雅黑" w:hAnsi="微软雅黑" w:eastAsia="微软雅黑"/>
          <w:bCs/>
          <w:color w:val="00B050"/>
          <w:sz w:val="20"/>
          <w:szCs w:val="20"/>
        </w:rPr>
        <w:t>66</w:t>
      </w:r>
      <w:r>
        <w:rPr>
          <w:rFonts w:hint="eastAsia" w:ascii="微软雅黑" w:hAnsi="微软雅黑" w:eastAsia="微软雅黑"/>
          <w:bCs/>
          <w:color w:val="00B050"/>
          <w:sz w:val="20"/>
          <w:szCs w:val="20"/>
        </w:rPr>
        <w:t>号临港科技绿洲</w:t>
      </w:r>
      <w:r>
        <w:rPr>
          <w:rFonts w:ascii="微软雅黑" w:hAnsi="微软雅黑" w:eastAsia="微软雅黑"/>
          <w:bCs/>
          <w:color w:val="00B050"/>
          <w:sz w:val="20"/>
          <w:szCs w:val="20"/>
        </w:rPr>
        <w:t>T2</w:t>
      </w:r>
      <w:r>
        <w:rPr>
          <w:rFonts w:hint="eastAsia" w:ascii="微软雅黑" w:hAnsi="微软雅黑" w:eastAsia="微软雅黑"/>
          <w:bCs/>
          <w:color w:val="00B050"/>
          <w:sz w:val="20"/>
          <w:szCs w:val="20"/>
        </w:rPr>
        <w:t>栋</w:t>
      </w:r>
      <w:r>
        <w:rPr>
          <w:rFonts w:ascii="微软雅黑" w:hAnsi="微软雅黑" w:eastAsia="微软雅黑"/>
          <w:bCs/>
          <w:color w:val="00B050"/>
          <w:sz w:val="20"/>
          <w:szCs w:val="20"/>
        </w:rPr>
        <w:t>16</w:t>
      </w:r>
      <w:r>
        <w:rPr>
          <w:rFonts w:hint="eastAsia" w:ascii="微软雅黑" w:hAnsi="微软雅黑" w:eastAsia="微软雅黑"/>
          <w:bCs/>
          <w:color w:val="00B050"/>
          <w:sz w:val="20"/>
          <w:szCs w:val="20"/>
        </w:rPr>
        <w:t>楼</w:t>
      </w:r>
    </w:p>
    <w:p w14:paraId="282CD111">
      <w:pPr>
        <w:pStyle w:val="15"/>
        <w:rPr>
          <w:rFonts w:ascii="微软雅黑" w:hAnsi="微软雅黑" w:eastAsia="微软雅黑"/>
          <w:color w:val="00B050"/>
          <w:sz w:val="20"/>
          <w:szCs w:val="20"/>
        </w:rPr>
      </w:pPr>
      <w:r>
        <w:rPr>
          <w:rFonts w:hint="eastAsia" w:ascii="微软雅黑" w:hAnsi="微软雅黑" w:eastAsia="微软雅黑"/>
          <w:bCs/>
          <w:color w:val="00B050"/>
          <w:sz w:val="20"/>
          <w:szCs w:val="20"/>
        </w:rPr>
        <w:t>电话：4008-898-798</w:t>
      </w:r>
      <w:r>
        <w:rPr>
          <w:rFonts w:ascii="微软雅黑" w:hAnsi="微软雅黑" w:eastAsia="微软雅黑"/>
          <w:bCs/>
          <w:color w:val="00B050"/>
          <w:sz w:val="20"/>
          <w:szCs w:val="20"/>
        </w:rPr>
        <w:t xml:space="preserve">  </w:t>
      </w:r>
      <w:r>
        <w:rPr>
          <w:rFonts w:hint="eastAsia" w:ascii="微软雅黑" w:hAnsi="微软雅黑" w:eastAsia="微软雅黑"/>
          <w:bCs/>
          <w:color w:val="00B050"/>
          <w:sz w:val="20"/>
          <w:szCs w:val="20"/>
        </w:rPr>
        <w:t xml:space="preserve">      传真：021-66980655  </w:t>
      </w:r>
      <w:r>
        <w:rPr>
          <w:rFonts w:ascii="微软雅黑" w:hAnsi="微软雅黑" w:eastAsia="微软雅黑"/>
          <w:color w:val="00B050"/>
          <w:sz w:val="20"/>
          <w:szCs w:val="20"/>
        </w:rPr>
        <w:t xml:space="preserve">   </w:t>
      </w:r>
      <w:r>
        <w:rPr>
          <w:rFonts w:hint="eastAsia" w:ascii="微软雅黑" w:hAnsi="微软雅黑" w:eastAsia="微软雅黑"/>
          <w:color w:val="00B050"/>
          <w:sz w:val="20"/>
          <w:szCs w:val="20"/>
        </w:rPr>
        <w:t xml:space="preserve">    </w:t>
      </w:r>
      <w:r>
        <w:rPr>
          <w:rFonts w:ascii="微软雅黑" w:hAnsi="微软雅黑" w:eastAsia="微软雅黑"/>
          <w:color w:val="00B050"/>
          <w:sz w:val="20"/>
          <w:szCs w:val="20"/>
        </w:rPr>
        <w:t xml:space="preserve"> </w:t>
      </w:r>
      <w:r>
        <w:rPr>
          <w:rFonts w:ascii="微软雅黑" w:hAnsi="微软雅黑" w:eastAsia="微软雅黑"/>
          <w:bCs/>
          <w:color w:val="00B050"/>
          <w:sz w:val="20"/>
          <w:szCs w:val="20"/>
        </w:rPr>
        <w:t>E-MAIL</w:t>
      </w:r>
      <w:r>
        <w:rPr>
          <w:rFonts w:hint="eastAsia" w:ascii="微软雅黑" w:hAnsi="微软雅黑" w:eastAsia="微软雅黑"/>
          <w:bCs/>
          <w:color w:val="00B050"/>
          <w:sz w:val="20"/>
          <w:szCs w:val="20"/>
        </w:rPr>
        <w:t>：</w:t>
      </w:r>
      <w:r>
        <w:rPr>
          <w:rFonts w:hint="eastAsia" w:ascii="微软雅黑" w:hAnsi="微软雅黑" w:eastAsia="微软雅黑"/>
          <w:color w:val="00B050"/>
          <w:sz w:val="20"/>
          <w:szCs w:val="20"/>
        </w:rPr>
        <w:t>2881505699@qq.com</w:t>
      </w:r>
    </w:p>
    <w:p w14:paraId="04309907">
      <w:pPr>
        <w:pStyle w:val="15"/>
        <w:rPr>
          <w:rFonts w:ascii="微软雅黑" w:hAnsi="微软雅黑" w:eastAsia="微软雅黑"/>
          <w:color w:val="00B050"/>
          <w:sz w:val="20"/>
          <w:szCs w:val="20"/>
        </w:rPr>
      </w:pPr>
    </w:p>
    <w:p w14:paraId="273412E1">
      <w:pPr>
        <w:pStyle w:val="15"/>
        <w:ind w:firstLine="4320" w:firstLineChars="1800"/>
        <w:rPr>
          <w:rFonts w:eastAsia="微软雅黑"/>
        </w:rPr>
        <w:sectPr>
          <w:headerReference r:id="rId3" w:type="default"/>
          <w:footerReference r:id="rId4" w:type="default"/>
          <w:type w:val="continuous"/>
          <w:pgSz w:w="12240" w:h="15840"/>
          <w:pgMar w:top="1247" w:right="658" w:bottom="1162" w:left="839" w:header="720" w:footer="720" w:gutter="0"/>
          <w:cols w:space="720" w:num="1"/>
          <w:docGrid w:linePitch="286" w:charSpace="0"/>
        </w:sectPr>
      </w:pPr>
    </w:p>
    <w:p w14:paraId="474700E9">
      <w:pPr>
        <w:pStyle w:val="12"/>
        <w:sectPr>
          <w:type w:val="continuous"/>
          <w:pgSz w:w="12240" w:h="15840"/>
          <w:pgMar w:top="1247" w:right="658" w:bottom="1162" w:left="839" w:header="720" w:footer="720" w:gutter="0"/>
          <w:cols w:space="720" w:num="1"/>
          <w:docGrid w:linePitch="286" w:charSpace="0"/>
        </w:sectPr>
      </w:pPr>
    </w:p>
    <w:p w14:paraId="3D91BBA4">
      <w:pPr>
        <w:pStyle w:val="12"/>
        <w:sectPr>
          <w:type w:val="continuous"/>
          <w:pgSz w:w="12240" w:h="15840"/>
          <w:pgMar w:top="1247" w:right="658" w:bottom="1162" w:left="839" w:header="720" w:footer="720" w:gutter="0"/>
          <w:cols w:space="720" w:num="1"/>
          <w:docGrid w:linePitch="286" w:charSpace="0"/>
        </w:sectPr>
      </w:pPr>
    </w:p>
    <w:p w14:paraId="4F2258D8">
      <w:pPr>
        <w:pStyle w:val="12"/>
      </w:pPr>
    </w:p>
    <w:sectPr>
      <w:type w:val="continuous"/>
      <w:pgSz w:w="12240" w:h="15840"/>
      <w:pgMar w:top="1247" w:right="658" w:bottom="1162" w:left="839"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yriad Pro Cond">
    <w:panose1 w:val="020B0506030403020204"/>
    <w:charset w:val="00"/>
    <w:family w:val="auto"/>
    <w:pitch w:val="default"/>
    <w:sig w:usb0="20000287" w:usb1="00000001"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yriad Pro">
    <w:panose1 w:val="020B0503030403020204"/>
    <w:charset w:val="86"/>
    <w:family w:val="swiss"/>
    <w:pitch w:val="default"/>
    <w:sig w:usb0="20000287" w:usb1="00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3BB1">
    <w:pPr>
      <w:pStyle w:val="3"/>
      <w:jc w:val="center"/>
    </w:pPr>
  </w:p>
  <w:p w14:paraId="0D92219D">
    <w:pPr>
      <w:pStyle w:val="3"/>
      <w:jc w:val="center"/>
      <w:rPr>
        <w:b/>
        <w:bCs/>
        <w:color w:val="00B050"/>
        <w:sz w:val="24"/>
        <w:szCs w:val="24"/>
      </w:r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6813550" cy="0"/>
              <wp:effectExtent l="0" t="4445" r="0" b="5080"/>
              <wp:wrapNone/>
              <wp:docPr id="8"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0.05pt;margin-top:-1.35pt;height:0pt;width:536.5pt;z-index:251659264;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I0y79MAAAAHAQAADwAAAAAAAAABACAAAAAiAAAAZHJzL2Rvd25yZXYueG1sUEsB&#10;AhQAFAAAAAgAh07iQGir1Nz6AQAA8QMAAA4AAAAAAAAAAQAgAAAAIgEAAGRycy9lMm9Eb2MueG1s&#10;UEsFBgAAAAAGAAYAWQEAAI4FAAAAAA==&#10;">
              <v:fill on="f" focussize="0,0"/>
              <v:stroke color="#000000" joinstyle="round"/>
              <v:imagedata o:title=""/>
              <o:lock v:ext="edit" aspectratio="f"/>
            </v:shape>
          </w:pict>
        </mc:Fallback>
      </mc:AlternateContent>
    </w:r>
    <w:r>
      <w:rPr>
        <w:b/>
        <w:bCs/>
        <w:color w:val="00B050"/>
      </w:rPr>
      <w:fldChar w:fldCharType="begin"/>
    </w:r>
    <w:r>
      <w:rPr>
        <w:b/>
        <w:bCs/>
        <w:color w:val="00B050"/>
      </w:rPr>
      <w:instrText xml:space="preserve">PAGE   \* MERGEFORMAT</w:instrText>
    </w:r>
    <w:r>
      <w:rPr>
        <w:b/>
        <w:bCs/>
        <w:color w:val="00B050"/>
      </w:rPr>
      <w:fldChar w:fldCharType="separate"/>
    </w:r>
    <w:r>
      <w:rPr>
        <w:b/>
        <w:bCs/>
        <w:color w:val="00B050"/>
      </w:rPr>
      <w:t>13</w:t>
    </w:r>
    <w:r>
      <w:rPr>
        <w:b/>
        <w:bCs/>
        <w:color w:val="00B050"/>
      </w:rPr>
      <w:fldChar w:fldCharType="end"/>
    </w:r>
  </w:p>
  <w:p w14:paraId="1527CCA5">
    <w:pPr>
      <w:jc w:val="center"/>
      <w:rPr>
        <w:rStyle w:val="9"/>
        <w:b/>
        <w:bCs/>
        <w:color w:val="00B050"/>
        <w:sz w:val="24"/>
        <w:szCs w:val="24"/>
        <w:u w:val="none"/>
      </w:rPr>
    </w:pPr>
    <w:r>
      <w:rPr>
        <w:rStyle w:val="9"/>
        <w:b/>
        <w:bCs/>
        <w:color w:val="00B050"/>
        <w:sz w:val="24"/>
        <w:szCs w:val="24"/>
        <w:u w:val="none"/>
      </w:rPr>
      <w:t>For research use only. Not for use in diagnostic procedures.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BF98">
    <w:pPr>
      <w:jc w:val="center"/>
      <w:rPr>
        <w:sz w:val="40"/>
        <w:szCs w:val="44"/>
      </w:rPr>
    </w:pPr>
    <w:r>
      <w:fldChar w:fldCharType="begin"/>
    </w:r>
    <w:r>
      <w:instrText xml:space="preserve"> HYPERLINK "http://www.mlbio.cn" </w:instrText>
    </w:r>
    <w:r>
      <w:fldChar w:fldCharType="separate"/>
    </w:r>
    <w:r>
      <w:rPr>
        <w:rStyle w:val="9"/>
        <w:b/>
        <w:bCs/>
        <w:color w:val="00B050"/>
        <w:sz w:val="48"/>
        <w:szCs w:val="48"/>
        <w:u w:val="none"/>
      </w:rPr>
      <w:t>www.mlbio.cn</w:t>
    </w:r>
    <w:r>
      <w:rPr>
        <w:rStyle w:val="9"/>
        <w:b/>
        <w:bCs/>
        <w:color w:val="00B050"/>
        <w:sz w:val="48"/>
        <w:szCs w:val="48"/>
        <w:u w:val="none"/>
      </w:rPr>
      <w:fldChar w:fldCharType="end"/>
    </w:r>
  </w:p>
  <w:p w14:paraId="4285E840">
    <w:pPr>
      <w:jc w:val="center"/>
      <w:rPr>
        <w:sz w:val="40"/>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1200" w:hanging="720"/>
      </w:pPr>
      <w:rPr>
        <w:rFonts w:ascii="仿宋" w:hAnsi="仿宋" w:eastAsia="仿宋" w:cs="Myriad Pro"/>
        <w:sz w:val="32"/>
        <w:szCs w:val="32"/>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7892521D"/>
    <w:multiLevelType w:val="multilevel"/>
    <w:tmpl w:val="789252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DE5ZTg3MmYzZmI2MzIxYWQ1OTI4MTJjOTVjNzAifQ=="/>
  </w:docVars>
  <w:rsids>
    <w:rsidRoot w:val="09847094"/>
    <w:rsid w:val="000278AA"/>
    <w:rsid w:val="0018237D"/>
    <w:rsid w:val="00242CBA"/>
    <w:rsid w:val="002E4A56"/>
    <w:rsid w:val="007D787F"/>
    <w:rsid w:val="00891C1D"/>
    <w:rsid w:val="009F63A0"/>
    <w:rsid w:val="00AF3C67"/>
    <w:rsid w:val="00CE7F81"/>
    <w:rsid w:val="00D12F6A"/>
    <w:rsid w:val="00E50217"/>
    <w:rsid w:val="00F33FAB"/>
    <w:rsid w:val="00FE13B2"/>
    <w:rsid w:val="01D555C9"/>
    <w:rsid w:val="027A370C"/>
    <w:rsid w:val="039963E5"/>
    <w:rsid w:val="0446450F"/>
    <w:rsid w:val="09847094"/>
    <w:rsid w:val="0E837D5C"/>
    <w:rsid w:val="10337AA3"/>
    <w:rsid w:val="103F1337"/>
    <w:rsid w:val="10B24BD3"/>
    <w:rsid w:val="12955E7E"/>
    <w:rsid w:val="13592C0F"/>
    <w:rsid w:val="1AF5354A"/>
    <w:rsid w:val="1F4F5FC9"/>
    <w:rsid w:val="1F7155A1"/>
    <w:rsid w:val="220E3C80"/>
    <w:rsid w:val="227B42A0"/>
    <w:rsid w:val="22A106D9"/>
    <w:rsid w:val="22F15563"/>
    <w:rsid w:val="24D40F7C"/>
    <w:rsid w:val="2546365C"/>
    <w:rsid w:val="268C02CD"/>
    <w:rsid w:val="28C84430"/>
    <w:rsid w:val="290E04A2"/>
    <w:rsid w:val="2A9B2FF6"/>
    <w:rsid w:val="2AB53BA0"/>
    <w:rsid w:val="2B056F29"/>
    <w:rsid w:val="2B372E74"/>
    <w:rsid w:val="2C20456A"/>
    <w:rsid w:val="2E23671B"/>
    <w:rsid w:val="30372488"/>
    <w:rsid w:val="315A5BA1"/>
    <w:rsid w:val="321F4924"/>
    <w:rsid w:val="37236025"/>
    <w:rsid w:val="3972011D"/>
    <w:rsid w:val="3DAD40BD"/>
    <w:rsid w:val="425546E1"/>
    <w:rsid w:val="43EE27B5"/>
    <w:rsid w:val="45F324BB"/>
    <w:rsid w:val="47C6219F"/>
    <w:rsid w:val="49B4187D"/>
    <w:rsid w:val="4B5936AA"/>
    <w:rsid w:val="4B5A2D81"/>
    <w:rsid w:val="4B835FB0"/>
    <w:rsid w:val="4E7D41E9"/>
    <w:rsid w:val="4F0A14D6"/>
    <w:rsid w:val="51137A93"/>
    <w:rsid w:val="524D2943"/>
    <w:rsid w:val="53967512"/>
    <w:rsid w:val="551E22E2"/>
    <w:rsid w:val="55B7742C"/>
    <w:rsid w:val="563849D5"/>
    <w:rsid w:val="572C05A4"/>
    <w:rsid w:val="591972BF"/>
    <w:rsid w:val="5C1C6FD3"/>
    <w:rsid w:val="5CDA7FCE"/>
    <w:rsid w:val="5E5A51B6"/>
    <w:rsid w:val="5F601AC0"/>
    <w:rsid w:val="613A550F"/>
    <w:rsid w:val="62BE4D5F"/>
    <w:rsid w:val="62D74037"/>
    <w:rsid w:val="670A6F50"/>
    <w:rsid w:val="677649E3"/>
    <w:rsid w:val="6C5A5D33"/>
    <w:rsid w:val="6CE03DD9"/>
    <w:rsid w:val="6D9A7E7F"/>
    <w:rsid w:val="6DCC7033"/>
    <w:rsid w:val="6EBB0EBA"/>
    <w:rsid w:val="6FAD1747"/>
    <w:rsid w:val="700417EE"/>
    <w:rsid w:val="726B5A00"/>
    <w:rsid w:val="72A95550"/>
    <w:rsid w:val="745A587F"/>
    <w:rsid w:val="751B134C"/>
    <w:rsid w:val="7AB001D5"/>
    <w:rsid w:val="7AC65C0F"/>
    <w:rsid w:val="7B1A66F9"/>
    <w:rsid w:val="7B1D3764"/>
    <w:rsid w:val="7B533262"/>
    <w:rsid w:val="7F7B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8"/>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0733"/>
      </w:tabs>
      <w:spacing w:line="360" w:lineRule="auto"/>
    </w:pPr>
  </w:style>
  <w:style w:type="paragraph" w:styleId="6">
    <w:name w:val="Title"/>
    <w:basedOn w:val="1"/>
    <w:next w:val="1"/>
    <w:qFormat/>
    <w:uiPriority w:val="10"/>
    <w:pPr>
      <w:spacing w:before="240" w:after="60"/>
      <w:jc w:val="left"/>
      <w:outlineLvl w:val="0"/>
    </w:pPr>
    <w:rPr>
      <w:rFonts w:ascii="Cambria" w:hAnsi="Cambria" w:eastAsia="仿宋"/>
      <w:b/>
      <w:bCs/>
      <w:color w:val="00B050"/>
      <w:sz w:val="28"/>
      <w:szCs w:val="32"/>
    </w:rPr>
  </w:style>
  <w:style w:type="character" w:styleId="9">
    <w:name w:val="Hyperlink"/>
    <w:unhideWhenUsed/>
    <w:qFormat/>
    <w:uiPriority w:val="99"/>
    <w:rPr>
      <w:color w:val="0000FF"/>
      <w:u w:val="single"/>
    </w:rPr>
  </w:style>
  <w:style w:type="character" w:styleId="10">
    <w:name w:val="annotation reference"/>
    <w:basedOn w:val="8"/>
    <w:qFormat/>
    <w:uiPriority w:val="99"/>
    <w:rPr>
      <w:sz w:val="21"/>
      <w:szCs w:val="21"/>
    </w:rPr>
  </w:style>
  <w:style w:type="paragraph" w:customStyle="1" w:styleId="11">
    <w:name w:val="CM18"/>
    <w:basedOn w:val="12"/>
    <w:next w:val="12"/>
    <w:qFormat/>
    <w:uiPriority w:val="99"/>
    <w:pPr>
      <w:spacing w:after="803"/>
    </w:pPr>
    <w:rPr>
      <w:rFonts w:cs="Times New Roman"/>
      <w:color w:val="auto"/>
    </w:rPr>
  </w:style>
  <w:style w:type="paragraph" w:customStyle="1" w:styleId="12">
    <w:name w:val="Default"/>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3">
    <w:name w:val="CM3"/>
    <w:basedOn w:val="12"/>
    <w:next w:val="12"/>
    <w:qFormat/>
    <w:uiPriority w:val="99"/>
    <w:pPr>
      <w:spacing w:line="433" w:lineRule="atLeast"/>
    </w:pPr>
    <w:rPr>
      <w:rFonts w:cs="Times New Roman"/>
      <w:color w:val="auto"/>
    </w:rPr>
  </w:style>
  <w:style w:type="paragraph" w:customStyle="1" w:styleId="14">
    <w:name w:val="CM19"/>
    <w:basedOn w:val="12"/>
    <w:next w:val="12"/>
    <w:qFormat/>
    <w:uiPriority w:val="99"/>
    <w:pPr>
      <w:spacing w:after="180"/>
    </w:pPr>
    <w:rPr>
      <w:rFonts w:cs="Times New Roman"/>
      <w:color w:val="auto"/>
    </w:rPr>
  </w:style>
  <w:style w:type="paragraph" w:customStyle="1" w:styleId="15">
    <w:name w:val="CM4"/>
    <w:basedOn w:val="12"/>
    <w:next w:val="12"/>
    <w:qFormat/>
    <w:uiPriority w:val="99"/>
    <w:pPr>
      <w:spacing w:line="258" w:lineRule="atLeast"/>
    </w:pPr>
    <w:rPr>
      <w:rFonts w:cs="Times New Roman"/>
      <w:color w:val="auto"/>
    </w:rPr>
  </w:style>
  <w:style w:type="paragraph" w:customStyle="1" w:styleId="16">
    <w:name w:val="CM20"/>
    <w:basedOn w:val="12"/>
    <w:next w:val="12"/>
    <w:qFormat/>
    <w:uiPriority w:val="99"/>
    <w:pPr>
      <w:spacing w:after="80"/>
    </w:pPr>
    <w:rPr>
      <w:rFonts w:cs="Times New Roman"/>
      <w:color w:val="auto"/>
    </w:rPr>
  </w:style>
  <w:style w:type="paragraph" w:customStyle="1" w:styleId="17">
    <w:name w:val="CM22"/>
    <w:basedOn w:val="12"/>
    <w:next w:val="12"/>
    <w:qFormat/>
    <w:uiPriority w:val="99"/>
    <w:pPr>
      <w:spacing w:after="383"/>
    </w:pPr>
    <w:rPr>
      <w:rFonts w:cs="Times New Roman"/>
      <w:color w:val="auto"/>
    </w:rPr>
  </w:style>
  <w:style w:type="character" w:customStyle="1" w:styleId="18">
    <w:name w:val="页眉 字符"/>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4424</Words>
  <Characters>5258</Characters>
  <Lines>49</Lines>
  <Paragraphs>13</Paragraphs>
  <TotalTime>1</TotalTime>
  <ScaleCrop>false</ScaleCrop>
  <LinksUpToDate>false</LinksUpToDate>
  <CharactersWithSpaces>5452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2024-12-13T15:24:00Z</dcterms:created>
  <dc:creator>~粉色</dc:creator>
  <cp:lastModifiedBy>~粉色</cp:lastModifiedBy>
  <dcterms:modified xsi:type="dcterms:W3CDTF">2025-04-09T01:29:00Z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E9F36A141BB34423B180DD2F36E3EDB3_11</vt:lpwstr>
  </property>
  <property fmtid="{D5CDD505-2E9C-101B-9397-08002B2CF9AE}" pid="4" name="KSOTemplateDocerSaveRecord">
    <vt:lpwstr>eyJoZGlkIjoiZDJiNzJhMGMyOTMxYTdiYjEwMTBjODFmMmZiNmJkZTciLCJ1c2VySWQiOiIxNDM0NDY3MTE0In0=</vt:lpwstr>
  </property>
</Properties>
</file>